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5F" w:rsidRDefault="005B025F" w:rsidP="00F8495B">
      <w:pPr>
        <w:jc w:val="center"/>
        <w:rPr>
          <w:b/>
          <w:caps/>
        </w:rPr>
      </w:pPr>
    </w:p>
    <w:p w:rsidR="005B025F" w:rsidRPr="00262D5C" w:rsidRDefault="005B025F" w:rsidP="005B025F">
      <w:pPr>
        <w:jc w:val="center"/>
        <w:rPr>
          <w:b/>
        </w:rPr>
      </w:pPr>
      <w:r w:rsidRPr="00262D5C">
        <w:rPr>
          <w:b/>
        </w:rPr>
        <w:t xml:space="preserve">AMENDMENTS TO THE SUPREME COURT </w:t>
      </w:r>
    </w:p>
    <w:p w:rsidR="005B025F" w:rsidRPr="00262D5C" w:rsidRDefault="005B025F" w:rsidP="005B025F">
      <w:pPr>
        <w:jc w:val="center"/>
        <w:rPr>
          <w:b/>
          <w:color w:val="000000" w:themeColor="text1"/>
        </w:rPr>
      </w:pPr>
      <w:r w:rsidRPr="00262D5C">
        <w:rPr>
          <w:b/>
        </w:rPr>
        <w:t xml:space="preserve">RULES </w:t>
      </w:r>
      <w:r w:rsidRPr="00262D5C">
        <w:rPr>
          <w:b/>
          <w:color w:val="000000" w:themeColor="text1"/>
        </w:rPr>
        <w:t>OF SUPERINTENDENCE FOR THE COURTS OF OHIO</w:t>
      </w:r>
    </w:p>
    <w:p w:rsidR="005B025F" w:rsidRPr="00262D5C" w:rsidRDefault="005B025F" w:rsidP="005B025F">
      <w:pPr>
        <w:jc w:val="both"/>
      </w:pPr>
    </w:p>
    <w:p w:rsidR="005B025F" w:rsidRPr="00262D5C" w:rsidRDefault="005B025F" w:rsidP="005B025F">
      <w:pPr>
        <w:ind w:firstLine="720"/>
        <w:jc w:val="both"/>
      </w:pPr>
      <w:r w:rsidRPr="00262D5C">
        <w:t>The following amendment</w:t>
      </w:r>
      <w:r>
        <w:t>s</w:t>
      </w:r>
      <w:r w:rsidRPr="00262D5C">
        <w:t xml:space="preserve"> to the Rules of Superintendence for the Courts of Ohio (new Sup.R. </w:t>
      </w:r>
      <w:r>
        <w:t>34</w:t>
      </w:r>
      <w:r w:rsidRPr="00262D5C">
        <w:t>) w</w:t>
      </w:r>
      <w:r>
        <w:t>ere</w:t>
      </w:r>
      <w:r w:rsidRPr="00262D5C">
        <w:t xml:space="preserve"> adopted by the Supreme Court of Ohio. The history of these amendments is as follows: </w:t>
      </w:r>
    </w:p>
    <w:p w:rsidR="005B025F" w:rsidRPr="00262D5C" w:rsidRDefault="005B025F" w:rsidP="005B025F">
      <w:pPr>
        <w:jc w:val="both"/>
      </w:pPr>
    </w:p>
    <w:p w:rsidR="005B025F" w:rsidRPr="00262D5C" w:rsidRDefault="005B025F" w:rsidP="005B025F">
      <w:pPr>
        <w:tabs>
          <w:tab w:val="left" w:pos="4410"/>
        </w:tabs>
        <w:ind w:left="2160"/>
        <w:jc w:val="both"/>
      </w:pPr>
      <w:r>
        <w:t>November 10, 2014</w:t>
      </w:r>
      <w:r>
        <w:tab/>
      </w:r>
      <w:r w:rsidRPr="00262D5C">
        <w:t>Published for public comment</w:t>
      </w:r>
    </w:p>
    <w:p w:rsidR="005B025F" w:rsidRPr="00262D5C" w:rsidRDefault="005B025F" w:rsidP="005B025F">
      <w:pPr>
        <w:tabs>
          <w:tab w:val="left" w:pos="4410"/>
        </w:tabs>
        <w:ind w:left="2160"/>
        <w:jc w:val="both"/>
      </w:pPr>
      <w:r>
        <w:t>May 5, 2015</w:t>
      </w:r>
      <w:r>
        <w:tab/>
      </w:r>
      <w:r w:rsidRPr="00262D5C">
        <w:t xml:space="preserve">Final adoption by conference </w:t>
      </w:r>
    </w:p>
    <w:p w:rsidR="005B025F" w:rsidRPr="00262D5C" w:rsidRDefault="005B025F" w:rsidP="005B025F">
      <w:pPr>
        <w:tabs>
          <w:tab w:val="left" w:pos="4410"/>
        </w:tabs>
        <w:ind w:left="2160"/>
        <w:jc w:val="both"/>
        <w:rPr>
          <w:b/>
          <w:bCs/>
        </w:rPr>
      </w:pPr>
      <w:r w:rsidRPr="00262D5C">
        <w:t>Ju</w:t>
      </w:r>
      <w:r>
        <w:t>ly</w:t>
      </w:r>
      <w:r w:rsidRPr="00262D5C">
        <w:t xml:space="preserve"> 1, 2015 </w:t>
      </w:r>
      <w:r w:rsidRPr="00262D5C">
        <w:tab/>
        <w:t>Effective date of amendments</w:t>
      </w:r>
    </w:p>
    <w:p w:rsidR="005B025F" w:rsidRDefault="005B025F" w:rsidP="00F8495B">
      <w:pPr>
        <w:jc w:val="center"/>
        <w:rPr>
          <w:b/>
          <w:caps/>
        </w:rPr>
      </w:pPr>
    </w:p>
    <w:p w:rsidR="005B025F" w:rsidRDefault="005B025F" w:rsidP="00F8495B">
      <w:pPr>
        <w:jc w:val="center"/>
        <w:rPr>
          <w:b/>
          <w:caps/>
        </w:rPr>
      </w:pPr>
    </w:p>
    <w:p w:rsidR="00F8495B" w:rsidRPr="00A77E0C" w:rsidRDefault="00F8495B" w:rsidP="00F8495B">
      <w:pPr>
        <w:jc w:val="center"/>
        <w:rPr>
          <w:b/>
          <w:caps/>
        </w:rPr>
      </w:pPr>
      <w:r w:rsidRPr="00A77E0C">
        <w:rPr>
          <w:b/>
          <w:caps/>
        </w:rPr>
        <w:t>Rules of Superintendence</w:t>
      </w:r>
      <w:r w:rsidR="005B2359">
        <w:rPr>
          <w:b/>
          <w:caps/>
        </w:rPr>
        <w:t xml:space="preserve"> </w:t>
      </w:r>
      <w:r w:rsidRPr="00A77E0C">
        <w:rPr>
          <w:b/>
          <w:caps/>
        </w:rPr>
        <w:t>for the Courts of Ohio</w:t>
      </w:r>
    </w:p>
    <w:p w:rsidR="00F8495B" w:rsidRDefault="00F8495B" w:rsidP="00F8495B">
      <w:pPr>
        <w:jc w:val="center"/>
        <w:rPr>
          <w:b/>
        </w:rPr>
      </w:pPr>
    </w:p>
    <w:p w:rsidR="00F8495B" w:rsidRPr="005B025F" w:rsidRDefault="00B04D54" w:rsidP="00F8495B">
      <w:proofErr w:type="gramStart"/>
      <w:r w:rsidRPr="005B025F">
        <w:rPr>
          <w:b/>
          <w:bCs/>
        </w:rPr>
        <w:t xml:space="preserve">RULE </w:t>
      </w:r>
      <w:r w:rsidR="00380BE1" w:rsidRPr="005B025F">
        <w:rPr>
          <w:b/>
          <w:bCs/>
        </w:rPr>
        <w:t>3</w:t>
      </w:r>
      <w:r w:rsidR="00C873BB" w:rsidRPr="005B025F">
        <w:rPr>
          <w:b/>
          <w:bCs/>
        </w:rPr>
        <w:t>4</w:t>
      </w:r>
      <w:r w:rsidR="00F8495B" w:rsidRPr="005B025F">
        <w:rPr>
          <w:b/>
          <w:bCs/>
        </w:rPr>
        <w:t>.</w:t>
      </w:r>
      <w:proofErr w:type="gramEnd"/>
      <w:r w:rsidR="00F8495B" w:rsidRPr="005B025F">
        <w:rPr>
          <w:b/>
          <w:bCs/>
        </w:rPr>
        <w:t> </w:t>
      </w:r>
      <w:r w:rsidR="00F8495B" w:rsidRPr="005B025F">
        <w:rPr>
          <w:b/>
          <w:bCs/>
        </w:rPr>
        <w:tab/>
      </w:r>
      <w:proofErr w:type="gramStart"/>
      <w:r w:rsidR="001423C0" w:rsidRPr="005B025F">
        <w:rPr>
          <w:b/>
          <w:bCs/>
        </w:rPr>
        <w:t xml:space="preserve">Electronic Case Management System Connectivity to the </w:t>
      </w:r>
      <w:r w:rsidR="008A06D6" w:rsidRPr="005B025F">
        <w:rPr>
          <w:b/>
          <w:bCs/>
        </w:rPr>
        <w:t>Ohio Courts Network</w:t>
      </w:r>
      <w:r w:rsidR="001423C0" w:rsidRPr="005B025F">
        <w:rPr>
          <w:b/>
          <w:bCs/>
        </w:rPr>
        <w:t>.</w:t>
      </w:r>
      <w:proofErr w:type="gramEnd"/>
      <w:r w:rsidR="00F8495B" w:rsidRPr="005B025F">
        <w:br/>
      </w:r>
    </w:p>
    <w:p w:rsidR="00380BE1" w:rsidRPr="005B025F" w:rsidRDefault="00F8495B" w:rsidP="00F8495B">
      <w:pPr>
        <w:jc w:val="both"/>
        <w:rPr>
          <w:bCs/>
        </w:rPr>
      </w:pPr>
      <w:r w:rsidRPr="005B025F">
        <w:rPr>
          <w:b/>
          <w:bCs/>
        </w:rPr>
        <w:t>(A)</w:t>
      </w:r>
      <w:r w:rsidRPr="005B025F">
        <w:rPr>
          <w:bCs/>
        </w:rPr>
        <w:tab/>
      </w:r>
      <w:r w:rsidR="00380BE1" w:rsidRPr="005B025F">
        <w:rPr>
          <w:b/>
          <w:bCs/>
        </w:rPr>
        <w:t>Definitions</w:t>
      </w:r>
    </w:p>
    <w:p w:rsidR="00380BE1" w:rsidRPr="005B025F" w:rsidRDefault="00380BE1" w:rsidP="00F8495B">
      <w:pPr>
        <w:jc w:val="both"/>
        <w:rPr>
          <w:b/>
          <w:bCs/>
        </w:rPr>
      </w:pPr>
    </w:p>
    <w:p w:rsidR="00D14FB0" w:rsidRPr="005B025F" w:rsidRDefault="00B04D54" w:rsidP="00D14FB0">
      <w:pPr>
        <w:jc w:val="both"/>
        <w:rPr>
          <w:bCs/>
        </w:rPr>
      </w:pPr>
      <w:r w:rsidRPr="005B025F">
        <w:rPr>
          <w:bCs/>
        </w:rPr>
        <w:t>As used in this rule</w:t>
      </w:r>
      <w:r w:rsidR="00D14FB0" w:rsidRPr="005B025F">
        <w:rPr>
          <w:bCs/>
        </w:rPr>
        <w:t>:</w:t>
      </w:r>
    </w:p>
    <w:p w:rsidR="00D14FB0" w:rsidRPr="005B025F" w:rsidRDefault="00D14FB0" w:rsidP="00B61AAD">
      <w:pPr>
        <w:ind w:left="720"/>
        <w:jc w:val="both"/>
        <w:rPr>
          <w:bCs/>
        </w:rPr>
      </w:pPr>
    </w:p>
    <w:p w:rsidR="00D14FB0" w:rsidRPr="005B025F" w:rsidRDefault="00D14FB0" w:rsidP="00D14FB0">
      <w:pPr>
        <w:ind w:left="720"/>
        <w:jc w:val="both"/>
        <w:rPr>
          <w:b/>
          <w:bCs/>
        </w:rPr>
      </w:pPr>
      <w:r w:rsidRPr="005B025F">
        <w:rPr>
          <w:b/>
          <w:bCs/>
        </w:rPr>
        <w:t>(1)</w:t>
      </w:r>
      <w:r w:rsidRPr="005B025F">
        <w:rPr>
          <w:b/>
          <w:bCs/>
        </w:rPr>
        <w:tab/>
        <w:t>Computer case management system</w:t>
      </w:r>
    </w:p>
    <w:p w:rsidR="00D14FB0" w:rsidRPr="005B025F" w:rsidRDefault="00D14FB0" w:rsidP="00D14FB0">
      <w:pPr>
        <w:jc w:val="both"/>
        <w:rPr>
          <w:bCs/>
        </w:rPr>
      </w:pPr>
    </w:p>
    <w:p w:rsidR="00D14FB0" w:rsidRPr="005B025F" w:rsidRDefault="00D14FB0" w:rsidP="00D14FB0">
      <w:pPr>
        <w:ind w:left="1440"/>
        <w:jc w:val="both"/>
      </w:pPr>
      <w:r w:rsidRPr="005B025F">
        <w:t xml:space="preserve">“Computer case management system” means </w:t>
      </w:r>
      <w:r w:rsidRPr="005B025F">
        <w:rPr>
          <w:sz w:val="23"/>
          <w:szCs w:val="23"/>
        </w:rPr>
        <w:t>the system of one or more software applications that dockets and indexes all cases filed with a court and includes features such as the management of case information, workflow implementation, data organization, and the generation of notices and reports.</w:t>
      </w:r>
      <w:r w:rsidRPr="005B025F">
        <w:t xml:space="preserve"> </w:t>
      </w:r>
    </w:p>
    <w:p w:rsidR="00D14FB0" w:rsidRPr="005B025F" w:rsidRDefault="00D14FB0" w:rsidP="00B61AAD">
      <w:pPr>
        <w:ind w:left="720"/>
        <w:jc w:val="both"/>
        <w:rPr>
          <w:b/>
          <w:bCs/>
        </w:rPr>
      </w:pPr>
    </w:p>
    <w:p w:rsidR="00D14FB0" w:rsidRPr="005B025F" w:rsidRDefault="00D14FB0" w:rsidP="00B61AAD">
      <w:pPr>
        <w:ind w:left="720"/>
        <w:jc w:val="both"/>
        <w:rPr>
          <w:b/>
          <w:bCs/>
        </w:rPr>
      </w:pPr>
      <w:r w:rsidRPr="005B025F">
        <w:rPr>
          <w:b/>
          <w:bCs/>
        </w:rPr>
        <w:t>(2)</w:t>
      </w:r>
      <w:r w:rsidRPr="005B025F">
        <w:rPr>
          <w:b/>
          <w:bCs/>
        </w:rPr>
        <w:tab/>
        <w:t>Ohio courts network</w:t>
      </w:r>
    </w:p>
    <w:p w:rsidR="00D14FB0" w:rsidRPr="005B025F" w:rsidRDefault="00D14FB0" w:rsidP="00B61AAD">
      <w:pPr>
        <w:ind w:left="720"/>
        <w:jc w:val="both"/>
        <w:rPr>
          <w:bCs/>
        </w:rPr>
      </w:pPr>
    </w:p>
    <w:p w:rsidR="00552BE8" w:rsidRPr="005B025F" w:rsidRDefault="009D6B93" w:rsidP="00D14FB0">
      <w:pPr>
        <w:ind w:left="1440"/>
        <w:jc w:val="both"/>
        <w:rPr>
          <w:sz w:val="23"/>
          <w:szCs w:val="23"/>
        </w:rPr>
      </w:pPr>
      <w:r w:rsidRPr="005B025F">
        <w:t>“Ohio courts network” means the electronic statewide information exchange system operated by the Supreme Court that facilitates the exchange of data and information by and between the courts of the state and other justice system partners through a centralized warehouse.</w:t>
      </w:r>
    </w:p>
    <w:p w:rsidR="00627890" w:rsidRPr="005B025F" w:rsidRDefault="00627890" w:rsidP="00552BE8">
      <w:pPr>
        <w:ind w:left="1440"/>
        <w:jc w:val="both"/>
      </w:pPr>
    </w:p>
    <w:p w:rsidR="00D9090D" w:rsidRPr="005B025F" w:rsidRDefault="00D9090D" w:rsidP="00D9090D">
      <w:pPr>
        <w:jc w:val="both"/>
      </w:pPr>
      <w:r w:rsidRPr="005B025F">
        <w:rPr>
          <w:b/>
          <w:bCs/>
        </w:rPr>
        <w:t>(B)</w:t>
      </w:r>
      <w:r w:rsidRPr="005B025F">
        <w:rPr>
          <w:b/>
          <w:bCs/>
        </w:rPr>
        <w:tab/>
      </w:r>
      <w:r w:rsidRPr="005B025F">
        <w:rPr>
          <w:b/>
        </w:rPr>
        <w:t>Connectivity of current computer case management systems</w:t>
      </w:r>
    </w:p>
    <w:p w:rsidR="00D9090D" w:rsidRPr="005B025F" w:rsidRDefault="00D9090D" w:rsidP="00D9090D">
      <w:pPr>
        <w:jc w:val="both"/>
      </w:pPr>
    </w:p>
    <w:p w:rsidR="00D9090D" w:rsidRPr="005B025F" w:rsidRDefault="00D9090D" w:rsidP="00D9090D">
      <w:pPr>
        <w:pStyle w:val="Default"/>
        <w:ind w:left="720"/>
        <w:jc w:val="both"/>
        <w:rPr>
          <w:color w:val="auto"/>
        </w:rPr>
      </w:pPr>
      <w:r w:rsidRPr="005B025F">
        <w:rPr>
          <w:color w:val="auto"/>
        </w:rPr>
        <w:t xml:space="preserve">Effective </w:t>
      </w:r>
      <w:r w:rsidR="005B025F" w:rsidRPr="005B025F">
        <w:rPr>
          <w:color w:val="auto"/>
        </w:rPr>
        <w:t>July 1, 2016</w:t>
      </w:r>
      <w:r w:rsidRPr="005B025F">
        <w:rPr>
          <w:color w:val="auto"/>
        </w:rPr>
        <w:t>, a computer case management system utilized by a court or division of a court that is capable of sending case data to the Ohio courts network in the data formats required shall be connected with that network.</w:t>
      </w:r>
    </w:p>
    <w:p w:rsidR="00D9090D" w:rsidRPr="005B025F" w:rsidRDefault="00D9090D" w:rsidP="00D9090D">
      <w:pPr>
        <w:pStyle w:val="Default"/>
        <w:ind w:left="720"/>
        <w:jc w:val="both"/>
        <w:rPr>
          <w:b/>
          <w:color w:val="auto"/>
        </w:rPr>
      </w:pPr>
    </w:p>
    <w:p w:rsidR="00D9090D" w:rsidRPr="005B025F" w:rsidRDefault="00D9090D" w:rsidP="00D9090D">
      <w:pPr>
        <w:pStyle w:val="Default"/>
        <w:jc w:val="both"/>
        <w:rPr>
          <w:b/>
          <w:color w:val="auto"/>
        </w:rPr>
      </w:pPr>
      <w:r w:rsidRPr="005B025F">
        <w:rPr>
          <w:b/>
          <w:color w:val="auto"/>
        </w:rPr>
        <w:t>(C)</w:t>
      </w:r>
      <w:r w:rsidRPr="005B025F">
        <w:rPr>
          <w:b/>
          <w:color w:val="auto"/>
        </w:rPr>
        <w:tab/>
        <w:t>Connectivity of new or upgraded case management systems</w:t>
      </w:r>
    </w:p>
    <w:p w:rsidR="00D9090D" w:rsidRPr="005B025F" w:rsidRDefault="00D9090D" w:rsidP="00D9090D">
      <w:pPr>
        <w:pStyle w:val="Default"/>
        <w:jc w:val="both"/>
        <w:rPr>
          <w:color w:val="auto"/>
        </w:rPr>
      </w:pPr>
    </w:p>
    <w:p w:rsidR="00D9090D" w:rsidRDefault="00D9090D" w:rsidP="00C71B6B">
      <w:pPr>
        <w:pStyle w:val="Default"/>
        <w:ind w:left="720"/>
        <w:jc w:val="both"/>
        <w:rPr>
          <w:color w:val="auto"/>
        </w:rPr>
      </w:pPr>
      <w:r w:rsidRPr="005B025F">
        <w:rPr>
          <w:color w:val="auto"/>
        </w:rPr>
        <w:t xml:space="preserve">Effective </w:t>
      </w:r>
      <w:r w:rsidR="005B025F" w:rsidRPr="005B025F">
        <w:rPr>
          <w:color w:val="auto"/>
        </w:rPr>
        <w:t>July 1, 2016</w:t>
      </w:r>
      <w:r w:rsidRPr="005B025F">
        <w:rPr>
          <w:color w:val="auto"/>
        </w:rPr>
        <w:t xml:space="preserve">, any new computer case management system purchased, built, or otherwise procured by a court or division of a court and any existing computer case management system upgraded by a court or division of a court </w:t>
      </w:r>
      <w:r w:rsidRPr="005B025F">
        <w:rPr>
          <w:color w:val="auto"/>
        </w:rPr>
        <w:lastRenderedPageBreak/>
        <w:t>shall be capable of sending case data to the Ohio courts network in the data formats required and shall be connected with that network.</w:t>
      </w:r>
    </w:p>
    <w:p w:rsidR="005B025F" w:rsidRDefault="005B025F" w:rsidP="00C71B6B">
      <w:pPr>
        <w:pStyle w:val="Default"/>
        <w:ind w:left="720"/>
        <w:jc w:val="both"/>
        <w:rPr>
          <w:color w:val="auto"/>
        </w:rPr>
      </w:pPr>
    </w:p>
    <w:p w:rsidR="005B025F" w:rsidRDefault="005B025F" w:rsidP="00C71B6B">
      <w:pPr>
        <w:pStyle w:val="Default"/>
        <w:ind w:left="720"/>
        <w:jc w:val="both"/>
        <w:rPr>
          <w:color w:val="auto"/>
        </w:rPr>
      </w:pPr>
    </w:p>
    <w:p w:rsidR="005B025F" w:rsidRPr="00262D5C" w:rsidRDefault="005B025F" w:rsidP="005B025F">
      <w:pPr>
        <w:tabs>
          <w:tab w:val="left" w:pos="720"/>
          <w:tab w:val="left" w:pos="1440"/>
          <w:tab w:val="left" w:pos="1980"/>
          <w:tab w:val="left" w:pos="2880"/>
        </w:tabs>
        <w:jc w:val="both"/>
        <w:rPr>
          <w:b/>
        </w:rPr>
      </w:pPr>
      <w:proofErr w:type="gramStart"/>
      <w:r w:rsidRPr="00262D5C">
        <w:rPr>
          <w:b/>
        </w:rPr>
        <w:t>RULE 99.</w:t>
      </w:r>
      <w:proofErr w:type="gramEnd"/>
      <w:r w:rsidRPr="00262D5C">
        <w:rPr>
          <w:b/>
        </w:rPr>
        <w:t xml:space="preserve"> </w:t>
      </w:r>
      <w:r w:rsidRPr="00262D5C">
        <w:rPr>
          <w:b/>
        </w:rPr>
        <w:tab/>
      </w:r>
      <w:proofErr w:type="gramStart"/>
      <w:r w:rsidRPr="00262D5C">
        <w:rPr>
          <w:b/>
        </w:rPr>
        <w:t>Effective Date.</w:t>
      </w:r>
      <w:proofErr w:type="gramEnd"/>
    </w:p>
    <w:p w:rsidR="005B025F" w:rsidRPr="00262D5C" w:rsidRDefault="005B025F" w:rsidP="005B025F">
      <w:pPr>
        <w:tabs>
          <w:tab w:val="left" w:pos="720"/>
          <w:tab w:val="left" w:pos="1440"/>
          <w:tab w:val="left" w:pos="1980"/>
          <w:tab w:val="left" w:pos="2880"/>
        </w:tabs>
        <w:ind w:hanging="720"/>
        <w:jc w:val="both"/>
      </w:pPr>
    </w:p>
    <w:p w:rsidR="005B025F" w:rsidRPr="00262D5C" w:rsidRDefault="005B025F" w:rsidP="005B025F">
      <w:pPr>
        <w:pStyle w:val="Default"/>
        <w:jc w:val="center"/>
        <w:rPr>
          <w:b/>
          <w:bCs/>
        </w:rPr>
      </w:pPr>
      <w:r w:rsidRPr="00262D5C">
        <w:rPr>
          <w:b/>
          <w:bCs/>
        </w:rPr>
        <w:t xml:space="preserve">[Existing language unaffected by the amendments is omitted to conserve space] </w:t>
      </w:r>
    </w:p>
    <w:p w:rsidR="005B025F" w:rsidRPr="00262D5C" w:rsidRDefault="005B025F" w:rsidP="005B025F">
      <w:pPr>
        <w:pStyle w:val="Default"/>
        <w:jc w:val="center"/>
        <w:rPr>
          <w:b/>
          <w:bCs/>
        </w:rPr>
      </w:pPr>
    </w:p>
    <w:p w:rsidR="005B025F" w:rsidRPr="00262D5C" w:rsidRDefault="005B025F" w:rsidP="005B025F">
      <w:pPr>
        <w:tabs>
          <w:tab w:val="left" w:pos="720"/>
          <w:tab w:val="left" w:pos="1440"/>
          <w:tab w:val="left" w:pos="1980"/>
          <w:tab w:val="left" w:pos="2880"/>
        </w:tabs>
        <w:jc w:val="both"/>
        <w:rPr>
          <w:color w:val="000000" w:themeColor="text1"/>
        </w:rPr>
      </w:pPr>
      <w:r w:rsidRPr="00262D5C">
        <w:tab/>
        <w:t>(</w:t>
      </w:r>
      <w:proofErr w:type="spellStart"/>
      <w:r>
        <w:t>QQQ</w:t>
      </w:r>
      <w:proofErr w:type="spellEnd"/>
      <w:r w:rsidRPr="00262D5C">
        <w:t xml:space="preserve">) </w:t>
      </w:r>
      <w:r w:rsidRPr="00262D5C">
        <w:tab/>
      </w:r>
      <w:proofErr w:type="gramStart"/>
      <w:r w:rsidRPr="00262D5C">
        <w:t>New Sup.R.</w:t>
      </w:r>
      <w:proofErr w:type="gramEnd"/>
      <w:r w:rsidRPr="00262D5C">
        <w:t xml:space="preserve"> </w:t>
      </w:r>
      <w:r>
        <w:t>34</w:t>
      </w:r>
      <w:r w:rsidRPr="00262D5C">
        <w:t>, adopted by the Supreme Court of Ohio on Ma</w:t>
      </w:r>
      <w:r>
        <w:t>y 5</w:t>
      </w:r>
      <w:r w:rsidRPr="00262D5C">
        <w:t xml:space="preserve">, 2015, shall take effect on </w:t>
      </w:r>
      <w:r>
        <w:t>July</w:t>
      </w:r>
      <w:r w:rsidRPr="00262D5C">
        <w:t xml:space="preserve"> 1, 2015.</w:t>
      </w:r>
    </w:p>
    <w:p w:rsidR="005B025F" w:rsidRPr="005B025F" w:rsidRDefault="005B025F" w:rsidP="00C71B6B">
      <w:pPr>
        <w:pStyle w:val="Default"/>
        <w:ind w:left="720"/>
        <w:jc w:val="both"/>
        <w:rPr>
          <w:color w:val="auto"/>
        </w:rPr>
      </w:pPr>
    </w:p>
    <w:sectPr w:rsidR="005B025F" w:rsidRPr="005B025F" w:rsidSect="005B025F">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67D" w:rsidRDefault="00F1767D">
      <w:r>
        <w:separator/>
      </w:r>
    </w:p>
  </w:endnote>
  <w:endnote w:type="continuationSeparator" w:id="0">
    <w:p w:rsidR="00F1767D" w:rsidRDefault="00F17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B1" w:rsidRDefault="003203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B1" w:rsidRDefault="003203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B1" w:rsidRDefault="003203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67D" w:rsidRDefault="00F1767D">
      <w:r>
        <w:separator/>
      </w:r>
    </w:p>
  </w:footnote>
  <w:footnote w:type="continuationSeparator" w:id="0">
    <w:p w:rsidR="00F1767D" w:rsidRDefault="00F17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B1" w:rsidRDefault="003203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B1" w:rsidRDefault="003203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B1" w:rsidRDefault="003203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664E9"/>
    <w:multiLevelType w:val="hybridMultilevel"/>
    <w:tmpl w:val="24EE47FA"/>
    <w:lvl w:ilvl="0" w:tplc="8112328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F8495B"/>
    <w:rsid w:val="000715F5"/>
    <w:rsid w:val="00091175"/>
    <w:rsid w:val="000F7671"/>
    <w:rsid w:val="00117B63"/>
    <w:rsid w:val="001423C0"/>
    <w:rsid w:val="0014781A"/>
    <w:rsid w:val="001608BA"/>
    <w:rsid w:val="00163B14"/>
    <w:rsid w:val="00180400"/>
    <w:rsid w:val="001E42B5"/>
    <w:rsid w:val="001E4FA3"/>
    <w:rsid w:val="001E6A79"/>
    <w:rsid w:val="00213A49"/>
    <w:rsid w:val="002506CC"/>
    <w:rsid w:val="00294B3E"/>
    <w:rsid w:val="002A3CAD"/>
    <w:rsid w:val="002F0C2B"/>
    <w:rsid w:val="00305234"/>
    <w:rsid w:val="003203B1"/>
    <w:rsid w:val="00323B0E"/>
    <w:rsid w:val="003336B0"/>
    <w:rsid w:val="003666A1"/>
    <w:rsid w:val="00380BE1"/>
    <w:rsid w:val="00412E6B"/>
    <w:rsid w:val="004521F3"/>
    <w:rsid w:val="00452614"/>
    <w:rsid w:val="00456DE8"/>
    <w:rsid w:val="00474B0C"/>
    <w:rsid w:val="004C3BC5"/>
    <w:rsid w:val="004F6B35"/>
    <w:rsid w:val="00500AC2"/>
    <w:rsid w:val="00500DFA"/>
    <w:rsid w:val="0052291E"/>
    <w:rsid w:val="00552BE8"/>
    <w:rsid w:val="0059616D"/>
    <w:rsid w:val="005A3A82"/>
    <w:rsid w:val="005B025F"/>
    <w:rsid w:val="005B2359"/>
    <w:rsid w:val="005C2B11"/>
    <w:rsid w:val="0061367A"/>
    <w:rsid w:val="00613CCB"/>
    <w:rsid w:val="00627890"/>
    <w:rsid w:val="00644E88"/>
    <w:rsid w:val="006D16E7"/>
    <w:rsid w:val="006E4129"/>
    <w:rsid w:val="007044E4"/>
    <w:rsid w:val="00795BC7"/>
    <w:rsid w:val="007D0744"/>
    <w:rsid w:val="007F1D2C"/>
    <w:rsid w:val="007F4F97"/>
    <w:rsid w:val="00814477"/>
    <w:rsid w:val="00840CE4"/>
    <w:rsid w:val="008514E3"/>
    <w:rsid w:val="00881E6C"/>
    <w:rsid w:val="008A06D6"/>
    <w:rsid w:val="008D6444"/>
    <w:rsid w:val="008F55EB"/>
    <w:rsid w:val="0092000D"/>
    <w:rsid w:val="00933496"/>
    <w:rsid w:val="009411FC"/>
    <w:rsid w:val="009C5EF3"/>
    <w:rsid w:val="009D6B93"/>
    <w:rsid w:val="009D6C4D"/>
    <w:rsid w:val="00A13B2B"/>
    <w:rsid w:val="00A5206C"/>
    <w:rsid w:val="00A54C6D"/>
    <w:rsid w:val="00A63CF4"/>
    <w:rsid w:val="00A77E0C"/>
    <w:rsid w:val="00AC3247"/>
    <w:rsid w:val="00B04D54"/>
    <w:rsid w:val="00B1030E"/>
    <w:rsid w:val="00B224F7"/>
    <w:rsid w:val="00B61AAD"/>
    <w:rsid w:val="00B74580"/>
    <w:rsid w:val="00B769F5"/>
    <w:rsid w:val="00B77E6C"/>
    <w:rsid w:val="00B82214"/>
    <w:rsid w:val="00B87ECD"/>
    <w:rsid w:val="00BA67FB"/>
    <w:rsid w:val="00BB0FA9"/>
    <w:rsid w:val="00C12C5E"/>
    <w:rsid w:val="00C45D8C"/>
    <w:rsid w:val="00C71B6B"/>
    <w:rsid w:val="00C83491"/>
    <w:rsid w:val="00C873BB"/>
    <w:rsid w:val="00CD3B2A"/>
    <w:rsid w:val="00CF5103"/>
    <w:rsid w:val="00D14FB0"/>
    <w:rsid w:val="00D47CA4"/>
    <w:rsid w:val="00D575D5"/>
    <w:rsid w:val="00D87EF4"/>
    <w:rsid w:val="00D9090D"/>
    <w:rsid w:val="00D95659"/>
    <w:rsid w:val="00DA611E"/>
    <w:rsid w:val="00DB4DD2"/>
    <w:rsid w:val="00DD0BDB"/>
    <w:rsid w:val="00E055D3"/>
    <w:rsid w:val="00E33624"/>
    <w:rsid w:val="00E46AC6"/>
    <w:rsid w:val="00E54B1D"/>
    <w:rsid w:val="00E62F2F"/>
    <w:rsid w:val="00E72D14"/>
    <w:rsid w:val="00E7399E"/>
    <w:rsid w:val="00E82195"/>
    <w:rsid w:val="00ED5DAC"/>
    <w:rsid w:val="00EE559C"/>
    <w:rsid w:val="00F0227D"/>
    <w:rsid w:val="00F1767D"/>
    <w:rsid w:val="00F742C8"/>
    <w:rsid w:val="00F8495B"/>
    <w:rsid w:val="00FB6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9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95B"/>
    <w:pPr>
      <w:autoSpaceDE w:val="0"/>
      <w:autoSpaceDN w:val="0"/>
      <w:adjustRightInd w:val="0"/>
    </w:pPr>
    <w:rPr>
      <w:color w:val="000000"/>
      <w:sz w:val="24"/>
      <w:szCs w:val="24"/>
    </w:rPr>
  </w:style>
  <w:style w:type="character" w:styleId="LineNumber">
    <w:name w:val="line number"/>
    <w:basedOn w:val="DefaultParagraphFont"/>
    <w:rsid w:val="00F8495B"/>
  </w:style>
  <w:style w:type="paragraph" w:styleId="NormalWeb">
    <w:name w:val="Normal (Web)"/>
    <w:basedOn w:val="Normal"/>
    <w:rsid w:val="00380BE1"/>
    <w:pPr>
      <w:spacing w:before="100" w:beforeAutospacing="1" w:after="100" w:afterAutospacing="1"/>
    </w:pPr>
  </w:style>
  <w:style w:type="paragraph" w:styleId="Header">
    <w:name w:val="header"/>
    <w:basedOn w:val="Normal"/>
    <w:rsid w:val="00D47CA4"/>
    <w:pPr>
      <w:tabs>
        <w:tab w:val="center" w:pos="4320"/>
        <w:tab w:val="right" w:pos="8640"/>
      </w:tabs>
    </w:pPr>
  </w:style>
  <w:style w:type="paragraph" w:styleId="Footer">
    <w:name w:val="footer"/>
    <w:basedOn w:val="Normal"/>
    <w:rsid w:val="00D47CA4"/>
    <w:pPr>
      <w:tabs>
        <w:tab w:val="center" w:pos="4320"/>
        <w:tab w:val="right" w:pos="8640"/>
      </w:tabs>
    </w:pPr>
  </w:style>
  <w:style w:type="character" w:styleId="CommentReference">
    <w:name w:val="annotation reference"/>
    <w:basedOn w:val="DefaultParagraphFont"/>
    <w:semiHidden/>
    <w:rsid w:val="008A06D6"/>
    <w:rPr>
      <w:sz w:val="16"/>
      <w:szCs w:val="16"/>
    </w:rPr>
  </w:style>
  <w:style w:type="paragraph" w:styleId="CommentText">
    <w:name w:val="annotation text"/>
    <w:basedOn w:val="Normal"/>
    <w:semiHidden/>
    <w:rsid w:val="008A06D6"/>
    <w:rPr>
      <w:sz w:val="20"/>
      <w:szCs w:val="20"/>
    </w:rPr>
  </w:style>
  <w:style w:type="paragraph" w:styleId="CommentSubject">
    <w:name w:val="annotation subject"/>
    <w:basedOn w:val="CommentText"/>
    <w:next w:val="CommentText"/>
    <w:semiHidden/>
    <w:rsid w:val="008A06D6"/>
    <w:rPr>
      <w:b/>
      <w:bCs/>
    </w:rPr>
  </w:style>
  <w:style w:type="paragraph" w:styleId="BalloonText">
    <w:name w:val="Balloon Text"/>
    <w:basedOn w:val="Normal"/>
    <w:semiHidden/>
    <w:rsid w:val="008A0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07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1810</Characters>
  <Application>Microsoft Office Word</Application>
  <DocSecurity>0</DocSecurity>
  <Lines>15</Lines>
  <Paragraphs>4</Paragraphs>
  <ScaleCrop>false</ScaleCrop>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2015-05-05T20:08:00Z</dcterms:created>
  <dcterms:modified xsi:type="dcterms:W3CDTF">2015-05-05T20:19:00Z</dcterms:modified>
</cp:coreProperties>
</file>