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06" w:rsidRDefault="00C04706" w:rsidP="00C04706">
      <w:pPr>
        <w:jc w:val="center"/>
        <w:outlineLvl w:val="0"/>
        <w:rPr>
          <w:b/>
        </w:rPr>
      </w:pPr>
      <w:r>
        <w:rPr>
          <w:b/>
        </w:rPr>
        <w:t>AMENDMENTS TO THE</w:t>
      </w:r>
    </w:p>
    <w:p w:rsidR="00C04706" w:rsidRDefault="00C04706" w:rsidP="00C04706">
      <w:pPr>
        <w:jc w:val="center"/>
        <w:outlineLvl w:val="0"/>
        <w:rPr>
          <w:b/>
        </w:rPr>
      </w:pPr>
      <w:r>
        <w:rPr>
          <w:b/>
        </w:rPr>
        <w:t>RULES FOR THE GOVERNMENT OF THE BAR OF OHIO</w:t>
      </w:r>
    </w:p>
    <w:p w:rsidR="00C04706" w:rsidRDefault="00C04706" w:rsidP="00C04706">
      <w:pPr>
        <w:jc w:val="both"/>
        <w:rPr>
          <w:b/>
        </w:rPr>
      </w:pPr>
    </w:p>
    <w:p w:rsidR="00C04706" w:rsidRDefault="00C04706" w:rsidP="00C04706">
      <w:pPr>
        <w:jc w:val="center"/>
        <w:rPr>
          <w:b/>
        </w:rPr>
      </w:pPr>
    </w:p>
    <w:p w:rsidR="00C04706" w:rsidRDefault="00C04706" w:rsidP="00C04706">
      <w:pPr>
        <w:jc w:val="both"/>
      </w:pPr>
      <w:r>
        <w:tab/>
        <w:t>On August 22, 2013, the Supreme Court of Ohio adopted the following amendments to the Rules for the Government of the Bar of Ohio (</w:t>
      </w:r>
      <w:proofErr w:type="spellStart"/>
      <w:r>
        <w:t>Gov.Bar</w:t>
      </w:r>
      <w:proofErr w:type="spellEnd"/>
      <w:r>
        <w:t xml:space="preserve"> R. VI, Section 3) effective November 1, 2013.</w:t>
      </w:r>
    </w:p>
    <w:p w:rsidR="00C04706" w:rsidRDefault="00C04706" w:rsidP="00750762">
      <w:pPr>
        <w:jc w:val="center"/>
        <w:rPr>
          <w:b/>
          <w:szCs w:val="24"/>
        </w:rPr>
      </w:pPr>
    </w:p>
    <w:p w:rsidR="00C04706" w:rsidRDefault="00C04706" w:rsidP="00750762">
      <w:pPr>
        <w:jc w:val="center"/>
        <w:rPr>
          <w:b/>
          <w:szCs w:val="24"/>
        </w:rPr>
      </w:pPr>
    </w:p>
    <w:p w:rsidR="00750762" w:rsidRPr="00B1363D" w:rsidRDefault="00750762" w:rsidP="00750762">
      <w:pPr>
        <w:jc w:val="center"/>
        <w:rPr>
          <w:b/>
          <w:szCs w:val="24"/>
        </w:rPr>
      </w:pPr>
      <w:r w:rsidRPr="00B1363D">
        <w:rPr>
          <w:b/>
          <w:szCs w:val="24"/>
        </w:rPr>
        <w:t>SUPREME COURT RULES FOR THE GOVERNMENT OF THE BAR OF OHIO</w:t>
      </w:r>
    </w:p>
    <w:p w:rsidR="00750762" w:rsidRPr="00B1363D" w:rsidRDefault="00750762">
      <w:pPr>
        <w:rPr>
          <w:b/>
          <w:szCs w:val="24"/>
        </w:rPr>
      </w:pPr>
    </w:p>
    <w:p w:rsidR="0061778C" w:rsidRPr="00B1363D" w:rsidRDefault="00750762">
      <w:pPr>
        <w:rPr>
          <w:b/>
          <w:szCs w:val="24"/>
        </w:rPr>
      </w:pPr>
      <w:r w:rsidRPr="00B1363D">
        <w:rPr>
          <w:b/>
          <w:szCs w:val="24"/>
        </w:rPr>
        <w:t xml:space="preserve">RULE VI.  </w:t>
      </w:r>
      <w:r w:rsidR="004274FA" w:rsidRPr="00B1363D">
        <w:rPr>
          <w:b/>
          <w:szCs w:val="24"/>
        </w:rPr>
        <w:tab/>
      </w:r>
      <w:r w:rsidRPr="00B1363D">
        <w:rPr>
          <w:b/>
          <w:szCs w:val="24"/>
        </w:rPr>
        <w:t>REGISTRATION OF ATTORNEYS</w:t>
      </w:r>
    </w:p>
    <w:p w:rsidR="00750762" w:rsidRPr="00B1363D" w:rsidRDefault="00750762">
      <w:pPr>
        <w:rPr>
          <w:b/>
          <w:szCs w:val="24"/>
        </w:rPr>
      </w:pPr>
    </w:p>
    <w:p w:rsidR="00750762" w:rsidRPr="00B1363D" w:rsidRDefault="00750762" w:rsidP="00750762">
      <w:pPr>
        <w:jc w:val="center"/>
        <w:rPr>
          <w:szCs w:val="24"/>
        </w:rPr>
      </w:pPr>
      <w:r w:rsidRPr="00B1363D">
        <w:rPr>
          <w:szCs w:val="24"/>
        </w:rPr>
        <w:t>***</w:t>
      </w:r>
    </w:p>
    <w:p w:rsidR="00750762" w:rsidRPr="00B1363D" w:rsidRDefault="00750762" w:rsidP="00750762">
      <w:pPr>
        <w:jc w:val="center"/>
        <w:rPr>
          <w:szCs w:val="24"/>
        </w:rPr>
      </w:pPr>
    </w:p>
    <w:p w:rsidR="00750762" w:rsidRPr="00B1363D" w:rsidRDefault="00750762" w:rsidP="00750762">
      <w:pPr>
        <w:autoSpaceDE w:val="0"/>
        <w:autoSpaceDN w:val="0"/>
        <w:adjustRightInd w:val="0"/>
        <w:ind w:firstLine="720"/>
        <w:jc w:val="both"/>
        <w:outlineLvl w:val="0"/>
        <w:rPr>
          <w:b/>
          <w:bCs/>
          <w:szCs w:val="24"/>
        </w:rPr>
      </w:pPr>
      <w:r w:rsidRPr="00B1363D">
        <w:rPr>
          <w:b/>
          <w:bCs/>
          <w:szCs w:val="24"/>
        </w:rPr>
        <w:t xml:space="preserve">Section 3. </w:t>
      </w:r>
      <w:r w:rsidRPr="00B1363D">
        <w:rPr>
          <w:b/>
          <w:bCs/>
          <w:szCs w:val="24"/>
        </w:rPr>
        <w:tab/>
        <w:t>Corporate Counsel.</w:t>
      </w:r>
    </w:p>
    <w:p w:rsidR="00750762" w:rsidRPr="00B1363D" w:rsidRDefault="00750762" w:rsidP="00750762">
      <w:pPr>
        <w:autoSpaceDE w:val="0"/>
        <w:autoSpaceDN w:val="0"/>
        <w:adjustRightInd w:val="0"/>
        <w:jc w:val="both"/>
        <w:rPr>
          <w:b/>
          <w:bCs/>
          <w:szCs w:val="24"/>
        </w:rPr>
      </w:pPr>
    </w:p>
    <w:p w:rsidR="00750762" w:rsidRPr="00B1363D" w:rsidRDefault="00750762" w:rsidP="00750762">
      <w:pPr>
        <w:autoSpaceDE w:val="0"/>
        <w:autoSpaceDN w:val="0"/>
        <w:adjustRightInd w:val="0"/>
        <w:ind w:firstLine="720"/>
        <w:jc w:val="both"/>
        <w:rPr>
          <w:szCs w:val="24"/>
        </w:rPr>
      </w:pPr>
      <w:r w:rsidRPr="00B1363D">
        <w:rPr>
          <w:szCs w:val="24"/>
        </w:rPr>
        <w:t xml:space="preserve">(A) </w:t>
      </w:r>
      <w:r w:rsidRPr="00B1363D">
        <w:rPr>
          <w:szCs w:val="24"/>
        </w:rPr>
        <w:tab/>
        <w:t>An attorney who is admitted to the practice of law in another state or in the District of Columbia, but not in Ohio</w:t>
      </w:r>
      <w:r w:rsidR="004274FA" w:rsidRPr="00B1363D">
        <w:rPr>
          <w:szCs w:val="24"/>
        </w:rPr>
        <w:t>;</w:t>
      </w:r>
      <w:r w:rsidRPr="00B1363D">
        <w:rPr>
          <w:szCs w:val="24"/>
        </w:rPr>
        <w:t xml:space="preserve"> is employed by a nongovernmental employer</w:t>
      </w:r>
      <w:r w:rsidR="00190D6E" w:rsidRPr="00B1363D">
        <w:rPr>
          <w:szCs w:val="24"/>
        </w:rPr>
        <w:t>; and</w:t>
      </w:r>
      <w:r w:rsidR="00FB77A8" w:rsidRPr="00B1363D">
        <w:rPr>
          <w:szCs w:val="24"/>
        </w:rPr>
        <w:t>, as a result of that employment,</w:t>
      </w:r>
      <w:r w:rsidR="00190D6E" w:rsidRPr="00B1363D">
        <w:rPr>
          <w:szCs w:val="24"/>
        </w:rPr>
        <w:t xml:space="preserve"> has a systematic and continuous presence in Ohio as permitted pursuant to Prof.Cond.R. 5.5(d)(1) shall </w:t>
      </w:r>
      <w:r w:rsidRPr="00B1363D">
        <w:rPr>
          <w:szCs w:val="24"/>
        </w:rPr>
        <w:t xml:space="preserve">register for corporate counsel status by filing a Certificate of Registration and paying the fee as required by Section 1 of this rule. The Office of Attorney Services may require additional information and documents, including a certificate of admission and good standing from the jurisdiction in which the attorney is admitted, from an attorney who registers for corporate </w:t>
      </w:r>
      <w:r w:rsidR="007B62B5" w:rsidRPr="00B1363D">
        <w:rPr>
          <w:szCs w:val="24"/>
        </w:rPr>
        <w:t xml:space="preserve">counsel </w:t>
      </w:r>
      <w:r w:rsidRPr="00B1363D">
        <w:rPr>
          <w:szCs w:val="24"/>
        </w:rPr>
        <w:t xml:space="preserve">status. An attorney who is registered for corporate counsel status may perform legal services in Ohio solely for the nongovernmental employer, as long as the attorney is an employee of that employer.  Registration under this section shall be effective and may be renewed biennially only as long as the attorney is so employed. An attorney who is granted corporate </w:t>
      </w:r>
      <w:r w:rsidR="007B62B5" w:rsidRPr="00B1363D">
        <w:rPr>
          <w:szCs w:val="24"/>
        </w:rPr>
        <w:t xml:space="preserve">counsel </w:t>
      </w:r>
      <w:r w:rsidRPr="00B1363D">
        <w:rPr>
          <w:szCs w:val="24"/>
        </w:rPr>
        <w:t xml:space="preserve">status shall promptly notify the </w:t>
      </w:r>
      <w:r w:rsidR="006A0DDA" w:rsidRPr="00B1363D">
        <w:rPr>
          <w:szCs w:val="24"/>
        </w:rPr>
        <w:t xml:space="preserve">Director </w:t>
      </w:r>
      <w:r w:rsidRPr="00B1363D">
        <w:rPr>
          <w:szCs w:val="24"/>
        </w:rPr>
        <w:t>of Attorney Services in writing upon termination of employment with the employer.</w:t>
      </w:r>
    </w:p>
    <w:p w:rsidR="00750762" w:rsidRPr="00B1363D" w:rsidRDefault="00750762" w:rsidP="00750762">
      <w:pPr>
        <w:autoSpaceDE w:val="0"/>
        <w:autoSpaceDN w:val="0"/>
        <w:adjustRightInd w:val="0"/>
        <w:jc w:val="both"/>
        <w:rPr>
          <w:szCs w:val="24"/>
        </w:rPr>
      </w:pPr>
    </w:p>
    <w:p w:rsidR="00750762" w:rsidRPr="00B1363D" w:rsidRDefault="00750762" w:rsidP="00750762">
      <w:pPr>
        <w:autoSpaceDE w:val="0"/>
        <w:autoSpaceDN w:val="0"/>
        <w:adjustRightInd w:val="0"/>
        <w:ind w:firstLine="720"/>
        <w:jc w:val="both"/>
        <w:rPr>
          <w:szCs w:val="24"/>
        </w:rPr>
      </w:pPr>
      <w:r w:rsidRPr="00B1363D">
        <w:rPr>
          <w:szCs w:val="24"/>
        </w:rPr>
        <w:t xml:space="preserve">(B) </w:t>
      </w:r>
      <w:r w:rsidRPr="00B1363D">
        <w:rPr>
          <w:szCs w:val="24"/>
        </w:rPr>
        <w:tab/>
        <w:t>An attorney who is registered for corporate counsel status may not practice before any court or agency of this state on behalf of the attorney’s employer or any person except for the attorney’s self, unless granted leave by the court or agency.</w:t>
      </w:r>
    </w:p>
    <w:p w:rsidR="00750762" w:rsidRPr="00B1363D" w:rsidRDefault="00750762" w:rsidP="00750762">
      <w:pPr>
        <w:autoSpaceDE w:val="0"/>
        <w:autoSpaceDN w:val="0"/>
        <w:adjustRightInd w:val="0"/>
        <w:jc w:val="both"/>
        <w:rPr>
          <w:szCs w:val="24"/>
        </w:rPr>
      </w:pPr>
    </w:p>
    <w:p w:rsidR="00750762" w:rsidRPr="00B1363D" w:rsidRDefault="00750762" w:rsidP="00750762">
      <w:pPr>
        <w:autoSpaceDE w:val="0"/>
        <w:autoSpaceDN w:val="0"/>
        <w:adjustRightInd w:val="0"/>
        <w:ind w:firstLine="720"/>
        <w:jc w:val="both"/>
        <w:rPr>
          <w:szCs w:val="24"/>
        </w:rPr>
      </w:pPr>
      <w:r w:rsidRPr="00B1363D">
        <w:rPr>
          <w:szCs w:val="24"/>
        </w:rPr>
        <w:t xml:space="preserve">(C) </w:t>
      </w:r>
      <w:r w:rsidRPr="00B1363D">
        <w:rPr>
          <w:szCs w:val="24"/>
        </w:rPr>
        <w:tab/>
        <w:t>An attorney who is admitted to the practice of law in another state or in the District of Columbia, but not in Ohio, and who performs legal services in Ohio for the attorney’s employer, but fails to register in compliance with this section or does not qualify to register under this section, may be referred for investigation of the unauthorized practice of law under Gov. Bar R. VII and, at the discretion of the Chief Justice, may be precluded from applying for admission without examination under Gov. Bar R. I.</w:t>
      </w:r>
    </w:p>
    <w:p w:rsidR="00750762" w:rsidRPr="00B1363D" w:rsidRDefault="00750762" w:rsidP="00750762">
      <w:pPr>
        <w:autoSpaceDE w:val="0"/>
        <w:autoSpaceDN w:val="0"/>
        <w:adjustRightInd w:val="0"/>
        <w:jc w:val="both"/>
        <w:rPr>
          <w:szCs w:val="24"/>
        </w:rPr>
      </w:pPr>
    </w:p>
    <w:p w:rsidR="00750762" w:rsidRPr="00B1363D" w:rsidRDefault="00750762" w:rsidP="00750762">
      <w:pPr>
        <w:autoSpaceDE w:val="0"/>
        <w:autoSpaceDN w:val="0"/>
        <w:adjustRightInd w:val="0"/>
        <w:ind w:firstLine="720"/>
        <w:jc w:val="both"/>
        <w:rPr>
          <w:szCs w:val="24"/>
        </w:rPr>
      </w:pPr>
      <w:r w:rsidRPr="00B1363D">
        <w:rPr>
          <w:szCs w:val="24"/>
        </w:rPr>
        <w:t xml:space="preserve">(D) </w:t>
      </w:r>
      <w:r w:rsidRPr="00B1363D">
        <w:rPr>
          <w:szCs w:val="24"/>
        </w:rPr>
        <w:tab/>
        <w:t>Division (A) of this section shall not apply to an attorney who is admitted to the practice of law in another state or in the District of Columbia, but not in Ohio, and who is employed by, associated with, or a partner in an Ohio law firm.  Until the attorney is admitted to the practice of law in Ohio, the attorney may not practice law in Ohio, hold the attorney’s self out as authorized to practice law in Ohio, or practice before any nonfederal court or agency in Ohio on behalf of any person except the attorney’s self, unless granted leave by the court or agency. The law firm may include the name of the attorney on its letterhead only if the letterhead includes a designation that the attorney is not admitted in Ohio.</w:t>
      </w:r>
    </w:p>
    <w:p w:rsidR="00750762" w:rsidRPr="00B1363D" w:rsidRDefault="00750762" w:rsidP="00750762">
      <w:pPr>
        <w:autoSpaceDE w:val="0"/>
        <w:autoSpaceDN w:val="0"/>
        <w:adjustRightInd w:val="0"/>
        <w:ind w:firstLine="720"/>
        <w:jc w:val="both"/>
        <w:rPr>
          <w:szCs w:val="24"/>
        </w:rPr>
      </w:pPr>
    </w:p>
    <w:p w:rsidR="00750762" w:rsidRPr="00B1363D" w:rsidRDefault="00750762" w:rsidP="00100FAA">
      <w:pPr>
        <w:autoSpaceDE w:val="0"/>
        <w:autoSpaceDN w:val="0"/>
        <w:adjustRightInd w:val="0"/>
        <w:jc w:val="center"/>
        <w:rPr>
          <w:szCs w:val="24"/>
        </w:rPr>
      </w:pPr>
      <w:r w:rsidRPr="00B1363D">
        <w:rPr>
          <w:szCs w:val="24"/>
        </w:rPr>
        <w:t>***</w:t>
      </w:r>
    </w:p>
    <w:p w:rsidR="004274FA" w:rsidRPr="00B1363D" w:rsidRDefault="004274FA" w:rsidP="00100FAA">
      <w:pPr>
        <w:autoSpaceDE w:val="0"/>
        <w:autoSpaceDN w:val="0"/>
        <w:adjustRightInd w:val="0"/>
        <w:jc w:val="center"/>
        <w:rPr>
          <w:szCs w:val="24"/>
        </w:rPr>
      </w:pPr>
    </w:p>
    <w:p w:rsidR="004274FA" w:rsidRPr="00B1363D" w:rsidRDefault="004274FA" w:rsidP="004274FA">
      <w:pPr>
        <w:autoSpaceDE w:val="0"/>
        <w:autoSpaceDN w:val="0"/>
        <w:adjustRightInd w:val="0"/>
        <w:jc w:val="both"/>
        <w:rPr>
          <w:szCs w:val="24"/>
        </w:rPr>
      </w:pPr>
      <w:r w:rsidRPr="00B1363D">
        <w:rPr>
          <w:szCs w:val="24"/>
        </w:rPr>
        <w:t xml:space="preserve">[Not analogous to former Rule VI, effective February 28, 1972; amended effective January 1, 1981; November 17, 1982; July 1, 1983; May 13, 1985, July 1, 1986; January 1, 1989; July 1, </w:t>
      </w:r>
      <w:r w:rsidRPr="00B1363D">
        <w:rPr>
          <w:szCs w:val="24"/>
        </w:rPr>
        <w:lastRenderedPageBreak/>
        <w:t>1991; September 1, 1991; January 1, 1992; July 1, 1992; July 1, 1993; January 1, 1995; July 1, 1995; November 1, 1995; July 1, 1997; July 1, 1999; November 28, 2000; June 1, 2002; August 19, 2002; November 1, 2002; July 1, 2003; July 1, 2005, September 1, 2005; July 1, 2007; September 1, 2007; January 1, 2008; May 1, 2009; September 1, 2010; January 1, 2012; January 1, 2013; November 1, 2013.]</w:t>
      </w:r>
    </w:p>
    <w:p w:rsidR="00B1363D" w:rsidRPr="00B1363D" w:rsidRDefault="00B1363D" w:rsidP="004274FA">
      <w:pPr>
        <w:autoSpaceDE w:val="0"/>
        <w:autoSpaceDN w:val="0"/>
        <w:adjustRightInd w:val="0"/>
        <w:jc w:val="both"/>
        <w:rPr>
          <w:szCs w:val="24"/>
        </w:rPr>
      </w:pPr>
    </w:p>
    <w:p w:rsidR="00B1363D" w:rsidRPr="00B1363D" w:rsidRDefault="00B1363D" w:rsidP="004274FA">
      <w:pPr>
        <w:autoSpaceDE w:val="0"/>
        <w:autoSpaceDN w:val="0"/>
        <w:adjustRightInd w:val="0"/>
        <w:jc w:val="both"/>
        <w:rPr>
          <w:szCs w:val="24"/>
        </w:rPr>
      </w:pPr>
    </w:p>
    <w:p w:rsidR="00B1363D" w:rsidRDefault="00B1363D" w:rsidP="004274FA">
      <w:pPr>
        <w:autoSpaceDE w:val="0"/>
        <w:autoSpaceDN w:val="0"/>
        <w:adjustRightInd w:val="0"/>
        <w:jc w:val="both"/>
        <w:rPr>
          <w:b/>
          <w:bCs/>
          <w:szCs w:val="24"/>
        </w:rPr>
      </w:pPr>
      <w:r w:rsidRPr="00B1363D">
        <w:rPr>
          <w:b/>
          <w:bCs/>
          <w:szCs w:val="24"/>
        </w:rPr>
        <w:t xml:space="preserve">RULE XX. </w:t>
      </w:r>
      <w:r w:rsidRPr="00B1363D">
        <w:rPr>
          <w:b/>
          <w:bCs/>
          <w:szCs w:val="24"/>
        </w:rPr>
        <w:tab/>
        <w:t>TITLE AND EFFECTIVE DATES</w:t>
      </w:r>
    </w:p>
    <w:p w:rsidR="00B1363D" w:rsidRDefault="00B1363D" w:rsidP="004274FA">
      <w:pPr>
        <w:autoSpaceDE w:val="0"/>
        <w:autoSpaceDN w:val="0"/>
        <w:adjustRightInd w:val="0"/>
        <w:jc w:val="both"/>
        <w:rPr>
          <w:b/>
          <w:bCs/>
          <w:szCs w:val="24"/>
        </w:rPr>
      </w:pPr>
    </w:p>
    <w:p w:rsidR="00B1363D" w:rsidRPr="00B1363D" w:rsidRDefault="00B1363D" w:rsidP="00B1363D">
      <w:pPr>
        <w:autoSpaceDE w:val="0"/>
        <w:autoSpaceDN w:val="0"/>
        <w:adjustRightInd w:val="0"/>
        <w:jc w:val="center"/>
        <w:rPr>
          <w:bCs/>
          <w:szCs w:val="24"/>
        </w:rPr>
      </w:pPr>
      <w:r w:rsidRPr="00B1363D">
        <w:rPr>
          <w:bCs/>
          <w:szCs w:val="24"/>
        </w:rPr>
        <w:t>***</w:t>
      </w:r>
    </w:p>
    <w:p w:rsidR="00B1363D" w:rsidRDefault="00B1363D" w:rsidP="004274FA">
      <w:pPr>
        <w:autoSpaceDE w:val="0"/>
        <w:autoSpaceDN w:val="0"/>
        <w:adjustRightInd w:val="0"/>
        <w:jc w:val="both"/>
        <w:rPr>
          <w:szCs w:val="24"/>
        </w:rPr>
      </w:pPr>
    </w:p>
    <w:p w:rsidR="00B1363D" w:rsidRPr="00B1363D" w:rsidRDefault="00B1363D" w:rsidP="004274FA">
      <w:pPr>
        <w:autoSpaceDE w:val="0"/>
        <w:autoSpaceDN w:val="0"/>
        <w:adjustRightInd w:val="0"/>
        <w:jc w:val="both"/>
        <w:rPr>
          <w:szCs w:val="24"/>
        </w:rPr>
      </w:pPr>
      <w:r>
        <w:rPr>
          <w:szCs w:val="24"/>
        </w:rPr>
        <w:tab/>
        <w:t>(PPPP)</w:t>
      </w:r>
      <w:r>
        <w:rPr>
          <w:szCs w:val="24"/>
        </w:rPr>
        <w:tab/>
        <w:t xml:space="preserve">   The amendments to </w:t>
      </w:r>
      <w:proofErr w:type="spellStart"/>
      <w:r>
        <w:rPr>
          <w:szCs w:val="24"/>
        </w:rPr>
        <w:t>Gov.Bar</w:t>
      </w:r>
      <w:proofErr w:type="spellEnd"/>
      <w:r>
        <w:rPr>
          <w:szCs w:val="24"/>
        </w:rPr>
        <w:t xml:space="preserve"> R. VI, Section 3, adopted by the Supreme Court on August 22, 2013, shall take effect on November 1, 2013. </w:t>
      </w:r>
    </w:p>
    <w:sectPr w:rsidR="00B1363D" w:rsidRPr="00B1363D" w:rsidSect="00C13E8F">
      <w:pgSz w:w="12240" w:h="15840" w:code="1"/>
      <w:pgMar w:top="1440" w:right="1440" w:bottom="1440" w:left="1440" w:header="720" w:footer="720" w:gutter="0"/>
      <w:paperSrc w:first="7" w:other="7"/>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1EF" w:rsidRDefault="00EF11EF" w:rsidP="00750762">
      <w:r>
        <w:separator/>
      </w:r>
    </w:p>
  </w:endnote>
  <w:endnote w:type="continuationSeparator" w:id="0">
    <w:p w:rsidR="00EF11EF" w:rsidRDefault="00EF11EF" w:rsidP="00750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1EF" w:rsidRDefault="00EF11EF" w:rsidP="00750762">
      <w:r>
        <w:separator/>
      </w:r>
    </w:p>
  </w:footnote>
  <w:footnote w:type="continuationSeparator" w:id="0">
    <w:p w:rsidR="00EF11EF" w:rsidRDefault="00EF11EF" w:rsidP="007507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rsids>
    <w:rsidRoot w:val="00CD150A"/>
    <w:rsid w:val="00030150"/>
    <w:rsid w:val="0008745D"/>
    <w:rsid w:val="000B1A3C"/>
    <w:rsid w:val="000B29E9"/>
    <w:rsid w:val="00100FAA"/>
    <w:rsid w:val="0013732F"/>
    <w:rsid w:val="00190D6E"/>
    <w:rsid w:val="001D3180"/>
    <w:rsid w:val="002217FE"/>
    <w:rsid w:val="002419AB"/>
    <w:rsid w:val="00253D59"/>
    <w:rsid w:val="00293064"/>
    <w:rsid w:val="003400BC"/>
    <w:rsid w:val="003A694E"/>
    <w:rsid w:val="004274FA"/>
    <w:rsid w:val="004C4688"/>
    <w:rsid w:val="004F7A3B"/>
    <w:rsid w:val="0054664C"/>
    <w:rsid w:val="00584E0D"/>
    <w:rsid w:val="005B4F50"/>
    <w:rsid w:val="005D7D54"/>
    <w:rsid w:val="0061778C"/>
    <w:rsid w:val="006966A0"/>
    <w:rsid w:val="006A0DDA"/>
    <w:rsid w:val="006B5B9D"/>
    <w:rsid w:val="00750762"/>
    <w:rsid w:val="007B62B5"/>
    <w:rsid w:val="008B6174"/>
    <w:rsid w:val="00A64265"/>
    <w:rsid w:val="00B1363D"/>
    <w:rsid w:val="00B44D3E"/>
    <w:rsid w:val="00B84CA8"/>
    <w:rsid w:val="00BA6FB0"/>
    <w:rsid w:val="00C04706"/>
    <w:rsid w:val="00C13E8F"/>
    <w:rsid w:val="00C53B4F"/>
    <w:rsid w:val="00CD150A"/>
    <w:rsid w:val="00D12131"/>
    <w:rsid w:val="00D71F46"/>
    <w:rsid w:val="00DC46DB"/>
    <w:rsid w:val="00DE6BBD"/>
    <w:rsid w:val="00DF276F"/>
    <w:rsid w:val="00E04283"/>
    <w:rsid w:val="00E61A24"/>
    <w:rsid w:val="00E72110"/>
    <w:rsid w:val="00EF11EF"/>
    <w:rsid w:val="00F61687"/>
    <w:rsid w:val="00F92BA7"/>
    <w:rsid w:val="00FB77A8"/>
    <w:rsid w:val="00FC4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lsdException w:name="line number" w:uiPriority="0"/>
    <w:lsdException w:name="Title" w:semiHidden="0" w:uiPriority="10" w:unhideWhenUsed="0" w:qFormat="1"/>
    <w:lsdException w:name="Default Paragraph Font" w:semiHidden="0" w:uiPriority="1"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semiHidden="0" w:uiPriority="0" w:unhideWhenUsed="0"/>
    <w:lsdException w:name="HTML Bottom of Form" w:semiHidden="0" w:uiPriority="0" w:unhideWhenUsed="0"/>
    <w:lsdException w:name="Normal Table" w:semiHidden="0" w:uiPriority="0" w:unhideWhenUsed="0"/>
    <w:lsdException w:name="annotation subject" w:semiHidden="0" w:unhideWhenUsed="0"/>
    <w:lsdException w:name="No List" w:semiHidden="0" w:unhideWhenUsed="0"/>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62"/>
    <w:rPr>
      <w:sz w:val="24"/>
    </w:rPr>
  </w:style>
  <w:style w:type="paragraph" w:styleId="Heading1">
    <w:name w:val="heading 1"/>
    <w:basedOn w:val="Normal"/>
    <w:next w:val="Normal"/>
    <w:link w:val="Heading1Char"/>
    <w:qFormat/>
    <w:rsid w:val="005D7D54"/>
    <w:pPr>
      <w:keepNext/>
      <w:jc w:val="both"/>
      <w:outlineLvl w:val="0"/>
    </w:pPr>
    <w:rPr>
      <w:b/>
      <w:sz w:val="32"/>
    </w:rPr>
  </w:style>
  <w:style w:type="paragraph" w:styleId="Heading2">
    <w:name w:val="heading 2"/>
    <w:basedOn w:val="Normal"/>
    <w:next w:val="Normal"/>
    <w:link w:val="Heading2Char"/>
    <w:autoRedefine/>
    <w:uiPriority w:val="9"/>
    <w:unhideWhenUsed/>
    <w:qFormat/>
    <w:rsid w:val="005D7D54"/>
    <w:pPr>
      <w:keepNext/>
      <w:spacing w:before="240" w:after="60"/>
      <w:jc w:val="both"/>
      <w:outlineLvl w:val="1"/>
    </w:pPr>
    <w:rPr>
      <w:b/>
      <w:bCs/>
      <w:iCs/>
      <w:szCs w:val="28"/>
    </w:rPr>
  </w:style>
  <w:style w:type="paragraph" w:styleId="Heading3">
    <w:name w:val="heading 3"/>
    <w:basedOn w:val="Normal"/>
    <w:next w:val="Normal"/>
    <w:link w:val="Heading3Char"/>
    <w:uiPriority w:val="9"/>
    <w:semiHidden/>
    <w:unhideWhenUsed/>
    <w:qFormat/>
    <w:rsid w:val="005D7D54"/>
    <w:pPr>
      <w:keepNext/>
      <w:keepLines/>
      <w:spacing w:before="200"/>
      <w:outlineLvl w:val="2"/>
    </w:pPr>
    <w:rPr>
      <w:rFonts w:asciiTheme="majorHAnsi" w:eastAsiaTheme="majorEastAsia" w:hAnsiTheme="majorHAnsi" w:cstheme="majorBidi"/>
      <w:b/>
      <w:bCs/>
      <w:color w:val="4F81BD" w:themeColor="accent1"/>
      <w:sz w:val="28"/>
    </w:rPr>
  </w:style>
  <w:style w:type="paragraph" w:styleId="Heading7">
    <w:name w:val="heading 7"/>
    <w:basedOn w:val="Normal"/>
    <w:next w:val="Normal"/>
    <w:link w:val="Heading7Char"/>
    <w:uiPriority w:val="9"/>
    <w:semiHidden/>
    <w:unhideWhenUsed/>
    <w:qFormat/>
    <w:rsid w:val="005D7D54"/>
    <w:pPr>
      <w:keepNext/>
      <w:keepLines/>
      <w:spacing w:before="200"/>
      <w:outlineLvl w:val="6"/>
    </w:pPr>
    <w:rPr>
      <w:rFonts w:asciiTheme="majorHAnsi" w:eastAsiaTheme="majorEastAsia" w:hAnsiTheme="majorHAnsi" w:cstheme="majorBidi"/>
      <w:i/>
      <w:iCs/>
      <w:color w:val="404040" w:themeColor="text1" w:themeTint="BF"/>
      <w:sz w:val="28"/>
    </w:rPr>
  </w:style>
  <w:style w:type="paragraph" w:styleId="Heading8">
    <w:name w:val="heading 8"/>
    <w:basedOn w:val="Normal"/>
    <w:next w:val="Normal"/>
    <w:link w:val="Heading8Char"/>
    <w:uiPriority w:val="9"/>
    <w:semiHidden/>
    <w:unhideWhenUsed/>
    <w:qFormat/>
    <w:rsid w:val="005D7D54"/>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A64265"/>
    <w:rPr>
      <w:sz w:val="24"/>
    </w:rPr>
  </w:style>
  <w:style w:type="character" w:styleId="PageNumber">
    <w:name w:val="page number"/>
    <w:basedOn w:val="DefaultParagraphFont"/>
    <w:uiPriority w:val="99"/>
    <w:semiHidden/>
    <w:unhideWhenUsed/>
    <w:rsid w:val="005D7D54"/>
  </w:style>
  <w:style w:type="character" w:customStyle="1" w:styleId="Heading1Char">
    <w:name w:val="Heading 1 Char"/>
    <w:basedOn w:val="DefaultParagraphFont"/>
    <w:link w:val="Heading1"/>
    <w:rsid w:val="005D7D54"/>
    <w:rPr>
      <w:b/>
      <w:sz w:val="32"/>
    </w:rPr>
  </w:style>
  <w:style w:type="character" w:customStyle="1" w:styleId="Heading2Char">
    <w:name w:val="Heading 2 Char"/>
    <w:basedOn w:val="DefaultParagraphFont"/>
    <w:link w:val="Heading2"/>
    <w:uiPriority w:val="9"/>
    <w:rsid w:val="005D7D54"/>
    <w:rPr>
      <w:b/>
      <w:bCs/>
      <w:iCs/>
      <w:sz w:val="24"/>
      <w:szCs w:val="28"/>
    </w:rPr>
  </w:style>
  <w:style w:type="character" w:customStyle="1" w:styleId="Heading3Char">
    <w:name w:val="Heading 3 Char"/>
    <w:basedOn w:val="DefaultParagraphFont"/>
    <w:link w:val="Heading3"/>
    <w:uiPriority w:val="9"/>
    <w:semiHidden/>
    <w:rsid w:val="005D7D54"/>
    <w:rPr>
      <w:rFonts w:asciiTheme="majorHAnsi" w:eastAsiaTheme="majorEastAsia" w:hAnsiTheme="majorHAnsi" w:cstheme="majorBidi"/>
      <w:b/>
      <w:bCs/>
      <w:color w:val="4F81BD" w:themeColor="accent1"/>
      <w:sz w:val="28"/>
    </w:rPr>
  </w:style>
  <w:style w:type="character" w:customStyle="1" w:styleId="Heading7Char">
    <w:name w:val="Heading 7 Char"/>
    <w:basedOn w:val="DefaultParagraphFont"/>
    <w:link w:val="Heading7"/>
    <w:uiPriority w:val="9"/>
    <w:semiHidden/>
    <w:rsid w:val="005D7D54"/>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semiHidden/>
    <w:rsid w:val="005D7D54"/>
    <w:rPr>
      <w:rFonts w:asciiTheme="majorHAnsi" w:eastAsiaTheme="majorEastAsia" w:hAnsiTheme="majorHAnsi" w:cstheme="majorBidi"/>
      <w:color w:val="404040" w:themeColor="text1" w:themeTint="BF"/>
    </w:rPr>
  </w:style>
  <w:style w:type="paragraph" w:styleId="CommentText">
    <w:name w:val="annotation text"/>
    <w:basedOn w:val="Normal"/>
    <w:link w:val="CommentTextChar"/>
    <w:uiPriority w:val="99"/>
    <w:unhideWhenUsed/>
    <w:rsid w:val="005D7D54"/>
    <w:rPr>
      <w:sz w:val="20"/>
    </w:rPr>
  </w:style>
  <w:style w:type="character" w:customStyle="1" w:styleId="CommentTextChar">
    <w:name w:val="Comment Text Char"/>
    <w:basedOn w:val="DefaultParagraphFont"/>
    <w:link w:val="CommentText"/>
    <w:uiPriority w:val="99"/>
    <w:rsid w:val="005D7D54"/>
  </w:style>
  <w:style w:type="paragraph" w:styleId="Header">
    <w:name w:val="header"/>
    <w:basedOn w:val="Normal"/>
    <w:link w:val="HeaderChar"/>
    <w:uiPriority w:val="99"/>
    <w:unhideWhenUsed/>
    <w:rsid w:val="005D7D54"/>
    <w:pPr>
      <w:tabs>
        <w:tab w:val="center" w:pos="4680"/>
        <w:tab w:val="right" w:pos="9360"/>
      </w:tabs>
    </w:pPr>
    <w:rPr>
      <w:sz w:val="28"/>
    </w:rPr>
  </w:style>
  <w:style w:type="character" w:customStyle="1" w:styleId="HeaderChar">
    <w:name w:val="Header Char"/>
    <w:basedOn w:val="DefaultParagraphFont"/>
    <w:link w:val="Header"/>
    <w:uiPriority w:val="99"/>
    <w:rsid w:val="005D7D54"/>
    <w:rPr>
      <w:sz w:val="28"/>
    </w:rPr>
  </w:style>
  <w:style w:type="paragraph" w:styleId="Footer">
    <w:name w:val="footer"/>
    <w:basedOn w:val="Normal"/>
    <w:link w:val="FooterChar"/>
    <w:uiPriority w:val="99"/>
    <w:unhideWhenUsed/>
    <w:rsid w:val="005D7D54"/>
    <w:pPr>
      <w:tabs>
        <w:tab w:val="center" w:pos="4320"/>
        <w:tab w:val="right" w:pos="8640"/>
      </w:tabs>
    </w:pPr>
    <w:rPr>
      <w:sz w:val="28"/>
    </w:rPr>
  </w:style>
  <w:style w:type="character" w:customStyle="1" w:styleId="FooterChar">
    <w:name w:val="Footer Char"/>
    <w:basedOn w:val="DefaultParagraphFont"/>
    <w:link w:val="Footer"/>
    <w:uiPriority w:val="99"/>
    <w:rsid w:val="005D7D54"/>
    <w:rPr>
      <w:sz w:val="28"/>
    </w:rPr>
  </w:style>
  <w:style w:type="character" w:styleId="CommentReference">
    <w:name w:val="annotation reference"/>
    <w:basedOn w:val="DefaultParagraphFont"/>
    <w:uiPriority w:val="99"/>
    <w:unhideWhenUsed/>
    <w:rsid w:val="005D7D54"/>
    <w:rPr>
      <w:sz w:val="16"/>
      <w:szCs w:val="16"/>
    </w:rPr>
  </w:style>
  <w:style w:type="character" w:styleId="Hyperlink">
    <w:name w:val="Hyperlink"/>
    <w:basedOn w:val="DefaultParagraphFont"/>
    <w:uiPriority w:val="99"/>
    <w:unhideWhenUsed/>
    <w:rsid w:val="005D7D54"/>
    <w:rPr>
      <w:color w:val="0000FF"/>
      <w:u w:val="single"/>
    </w:rPr>
  </w:style>
  <w:style w:type="paragraph" w:styleId="CommentSubject">
    <w:name w:val="annotation subject"/>
    <w:basedOn w:val="CommentText"/>
    <w:next w:val="CommentText"/>
    <w:link w:val="CommentSubjectChar"/>
    <w:uiPriority w:val="99"/>
    <w:unhideWhenUsed/>
    <w:rsid w:val="005D7D54"/>
    <w:rPr>
      <w:b/>
      <w:bCs/>
    </w:rPr>
  </w:style>
  <w:style w:type="character" w:customStyle="1" w:styleId="CommentSubjectChar">
    <w:name w:val="Comment Subject Char"/>
    <w:basedOn w:val="CommentTextChar"/>
    <w:link w:val="CommentSubject"/>
    <w:uiPriority w:val="99"/>
    <w:rsid w:val="005D7D54"/>
    <w:rPr>
      <w:b/>
      <w:bCs/>
    </w:rPr>
  </w:style>
  <w:style w:type="paragraph" w:styleId="BalloonText">
    <w:name w:val="Balloon Text"/>
    <w:basedOn w:val="Normal"/>
    <w:link w:val="BalloonTextChar"/>
    <w:uiPriority w:val="99"/>
    <w:unhideWhenUsed/>
    <w:rsid w:val="005D7D54"/>
    <w:rPr>
      <w:rFonts w:ascii="Tahoma" w:hAnsi="Tahoma" w:cs="Tahoma"/>
      <w:sz w:val="16"/>
      <w:szCs w:val="16"/>
    </w:rPr>
  </w:style>
  <w:style w:type="character" w:customStyle="1" w:styleId="BalloonTextChar">
    <w:name w:val="Balloon Text Char"/>
    <w:basedOn w:val="DefaultParagraphFont"/>
    <w:link w:val="BalloonText"/>
    <w:uiPriority w:val="99"/>
    <w:rsid w:val="005D7D54"/>
    <w:rPr>
      <w:rFonts w:ascii="Tahoma" w:hAnsi="Tahoma" w:cs="Tahoma"/>
      <w:sz w:val="16"/>
      <w:szCs w:val="16"/>
    </w:rPr>
  </w:style>
  <w:style w:type="paragraph" w:styleId="ListParagraph">
    <w:name w:val="List Paragraph"/>
    <w:basedOn w:val="Normal"/>
    <w:uiPriority w:val="34"/>
    <w:qFormat/>
    <w:rsid w:val="005D7D54"/>
    <w:pPr>
      <w:ind w:left="720"/>
      <w:contextualSpacing/>
    </w:pPr>
    <w:rPr>
      <w:sz w:val="28"/>
    </w:rPr>
  </w:style>
  <w:style w:type="paragraph" w:styleId="TOC3">
    <w:name w:val="toc 3"/>
    <w:basedOn w:val="Normal"/>
    <w:next w:val="Normal"/>
    <w:autoRedefine/>
    <w:uiPriority w:val="39"/>
    <w:unhideWhenUsed/>
    <w:qFormat/>
    <w:rsid w:val="00F61687"/>
    <w:pPr>
      <w:tabs>
        <w:tab w:val="left" w:pos="720"/>
        <w:tab w:val="left" w:pos="1440"/>
        <w:tab w:val="left" w:pos="2160"/>
        <w:tab w:val="left" w:pos="3060"/>
        <w:tab w:val="right" w:leader="dot" w:pos="8640"/>
      </w:tabs>
      <w:spacing w:line="480" w:lineRule="auto"/>
      <w:ind w:left="4594" w:right="1080" w:hanging="3154"/>
      <w:jc w:val="both"/>
    </w:pPr>
    <w:rPr>
      <w:noProof/>
      <w:szCs w:val="24"/>
    </w:rPr>
  </w:style>
  <w:style w:type="paragraph" w:styleId="TOC1">
    <w:name w:val="toc 1"/>
    <w:basedOn w:val="Normal"/>
    <w:next w:val="Normal"/>
    <w:autoRedefine/>
    <w:uiPriority w:val="39"/>
    <w:qFormat/>
    <w:rsid w:val="00F61687"/>
    <w:pPr>
      <w:tabs>
        <w:tab w:val="left" w:pos="720"/>
        <w:tab w:val="left" w:pos="1440"/>
        <w:tab w:val="left" w:pos="2160"/>
        <w:tab w:val="left" w:pos="2340"/>
        <w:tab w:val="right" w:leader="dot" w:pos="8630"/>
      </w:tabs>
      <w:spacing w:line="480" w:lineRule="auto"/>
      <w:jc w:val="both"/>
    </w:pPr>
    <w:rPr>
      <w:caps/>
      <w:noProo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662</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VanNorman</dc:creator>
  <cp:lastModifiedBy>Jennifer Dennis</cp:lastModifiedBy>
  <cp:revision>2</cp:revision>
  <cp:lastPrinted>2013-08-22T18:20:00Z</cp:lastPrinted>
  <dcterms:created xsi:type="dcterms:W3CDTF">2013-08-26T14:07:00Z</dcterms:created>
  <dcterms:modified xsi:type="dcterms:W3CDTF">2013-08-26T14:07:00Z</dcterms:modified>
</cp:coreProperties>
</file>