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58B3" w:rsidRPr="005804EE" w:rsidRDefault="007058B3" w:rsidP="007058B3">
      <w:pPr>
        <w:pStyle w:val="Title"/>
        <w:rPr>
          <w:szCs w:val="24"/>
        </w:rPr>
      </w:pPr>
      <w:r w:rsidRPr="005804EE">
        <w:rPr>
          <w:szCs w:val="24"/>
        </w:rPr>
        <w:t xml:space="preserve">AMENDMENTS TO THE </w:t>
      </w:r>
    </w:p>
    <w:p w:rsidR="007058B3" w:rsidRPr="005804EE" w:rsidRDefault="007058B3" w:rsidP="007058B3">
      <w:pPr>
        <w:pStyle w:val="Title"/>
        <w:rPr>
          <w:szCs w:val="24"/>
        </w:rPr>
      </w:pPr>
      <w:r w:rsidRPr="005804EE">
        <w:rPr>
          <w:szCs w:val="24"/>
        </w:rPr>
        <w:t>RULES OF SUPERINTENDENCE FOR THE COURTS OF OHIO</w:t>
      </w:r>
    </w:p>
    <w:p w:rsidR="007058B3" w:rsidRPr="005804EE" w:rsidRDefault="007058B3" w:rsidP="007058B3">
      <w:pPr>
        <w:jc w:val="both"/>
      </w:pPr>
    </w:p>
    <w:p w:rsidR="007058B3" w:rsidRDefault="007058B3" w:rsidP="007058B3">
      <w:pPr>
        <w:jc w:val="both"/>
      </w:pPr>
      <w:r>
        <w:rPr>
          <w:rStyle w:val="Strong"/>
          <w:b w:val="0"/>
          <w:color w:val="000000"/>
        </w:rPr>
        <w:tab/>
        <w:t>On May 21, 2013,</w:t>
      </w:r>
      <w:r w:rsidRPr="00153038">
        <w:rPr>
          <w:rStyle w:val="Strong"/>
          <w:b w:val="0"/>
          <w:color w:val="000000"/>
        </w:rPr>
        <w:t xml:space="preserve"> the Supreme Court of Ohio adopted the following amendments </w:t>
      </w:r>
      <w:r w:rsidRPr="00153038">
        <w:t>to the Rules of Superintendence for the Courts of Ohio (</w:t>
      </w:r>
      <w:proofErr w:type="spellStart"/>
      <w:r w:rsidRPr="00927EA3">
        <w:t>Sup.R</w:t>
      </w:r>
      <w:proofErr w:type="spellEnd"/>
      <w:r w:rsidRPr="00927EA3">
        <w:t>. 49, 49.02, 49.03, and 49.09</w:t>
      </w:r>
      <w:r>
        <w:t>)</w:t>
      </w:r>
      <w:r w:rsidR="006768D3">
        <w:t>,</w:t>
      </w:r>
      <w:r>
        <w:t xml:space="preserve"> effective July 1</w:t>
      </w:r>
      <w:r w:rsidRPr="00153038">
        <w:t>, 201</w:t>
      </w:r>
      <w:r>
        <w:t>3</w:t>
      </w:r>
      <w:r w:rsidRPr="00153038">
        <w:t xml:space="preserve">.  </w:t>
      </w:r>
    </w:p>
    <w:p w:rsidR="007058B3" w:rsidRDefault="007058B3" w:rsidP="007058B3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b/>
          <w:bCs/>
        </w:rPr>
      </w:pPr>
    </w:p>
    <w:p w:rsidR="007058B3" w:rsidRDefault="007058B3" w:rsidP="00B21983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b/>
          <w:bCs/>
        </w:rPr>
      </w:pPr>
    </w:p>
    <w:p w:rsidR="007058B3" w:rsidRDefault="007058B3" w:rsidP="00B21983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b/>
          <w:bCs/>
        </w:rPr>
      </w:pPr>
    </w:p>
    <w:p w:rsidR="00D95509" w:rsidRPr="00927EA3" w:rsidRDefault="00D95509" w:rsidP="00B21983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b/>
          <w:bCs/>
        </w:rPr>
      </w:pPr>
      <w:r w:rsidRPr="00927EA3">
        <w:rPr>
          <w:b/>
          <w:bCs/>
        </w:rPr>
        <w:t>RULES OF SUPERINTENDENCE FOR THE COURTS OF OHIO</w:t>
      </w:r>
    </w:p>
    <w:p w:rsidR="00D95509" w:rsidRPr="00927EA3" w:rsidRDefault="00D95509" w:rsidP="00B21983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b/>
        </w:rPr>
      </w:pPr>
    </w:p>
    <w:p w:rsidR="00773D27" w:rsidRPr="00927EA3" w:rsidRDefault="00207B45" w:rsidP="00207B45">
      <w:pPr>
        <w:tabs>
          <w:tab w:val="left" w:pos="720"/>
          <w:tab w:val="left" w:pos="1440"/>
          <w:tab w:val="left" w:pos="1980"/>
          <w:tab w:val="left" w:pos="2160"/>
          <w:tab w:val="left" w:pos="2880"/>
        </w:tabs>
        <w:jc w:val="both"/>
        <w:rPr>
          <w:b/>
        </w:rPr>
      </w:pPr>
      <w:r w:rsidRPr="00927EA3">
        <w:rPr>
          <w:b/>
        </w:rPr>
        <w:t>RULE 49.</w:t>
      </w:r>
      <w:r w:rsidRPr="00927EA3">
        <w:rPr>
          <w:b/>
        </w:rPr>
        <w:tab/>
      </w:r>
      <w:r w:rsidRPr="00927EA3">
        <w:rPr>
          <w:b/>
        </w:rPr>
        <w:tab/>
      </w:r>
      <w:r w:rsidR="00D71D89" w:rsidRPr="00927EA3">
        <w:rPr>
          <w:b/>
        </w:rPr>
        <w:t>Definitions</w:t>
      </w:r>
      <w:r w:rsidR="00773D27" w:rsidRPr="00927EA3">
        <w:rPr>
          <w:b/>
        </w:rPr>
        <w:t>.</w:t>
      </w:r>
    </w:p>
    <w:p w:rsidR="00773D27" w:rsidRPr="00927EA3" w:rsidRDefault="00773D27" w:rsidP="00B21983">
      <w:pPr>
        <w:tabs>
          <w:tab w:val="left" w:pos="720"/>
          <w:tab w:val="left" w:pos="1440"/>
          <w:tab w:val="left" w:pos="2160"/>
          <w:tab w:val="left" w:pos="2880"/>
        </w:tabs>
        <w:jc w:val="both"/>
      </w:pPr>
    </w:p>
    <w:p w:rsidR="00D71D89" w:rsidRPr="00927EA3" w:rsidRDefault="00A41135" w:rsidP="00B21983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Style w:val="term1"/>
          <w:b w:val="0"/>
        </w:rPr>
      </w:pPr>
      <w:r w:rsidRPr="00927EA3">
        <w:t xml:space="preserve">As used in </w:t>
      </w:r>
      <w:r w:rsidR="009576F5" w:rsidRPr="00927EA3">
        <w:t>Sup.R.</w:t>
      </w:r>
      <w:r w:rsidRPr="00927EA3">
        <w:t xml:space="preserve"> 49</w:t>
      </w:r>
      <w:r w:rsidR="00773D27" w:rsidRPr="00927EA3">
        <w:t xml:space="preserve"> </w:t>
      </w:r>
      <w:r w:rsidRPr="00927EA3">
        <w:t>through 49.</w:t>
      </w:r>
      <w:r w:rsidR="00602169" w:rsidRPr="00927EA3">
        <w:t>12</w:t>
      </w:r>
      <w:r w:rsidR="00FE33D9" w:rsidRPr="00927EA3">
        <w:rPr>
          <w:rStyle w:val="term1"/>
          <w:b w:val="0"/>
        </w:rPr>
        <w:t>:</w:t>
      </w:r>
      <w:r w:rsidRPr="00927EA3">
        <w:rPr>
          <w:rStyle w:val="term1"/>
          <w:b w:val="0"/>
        </w:rPr>
        <w:t xml:space="preserve"> </w:t>
      </w:r>
    </w:p>
    <w:p w:rsidR="00D71D89" w:rsidRPr="00927EA3" w:rsidRDefault="00D71D89" w:rsidP="00B21983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Style w:val="term1"/>
          <w:b w:val="0"/>
        </w:rPr>
      </w:pPr>
    </w:p>
    <w:p w:rsidR="00D71D89" w:rsidRPr="00927EA3" w:rsidRDefault="00D71D89" w:rsidP="00B21983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Style w:val="term1"/>
          <w:b w:val="0"/>
        </w:rPr>
      </w:pPr>
      <w:r w:rsidRPr="00927EA3">
        <w:rPr>
          <w:rStyle w:val="term1"/>
        </w:rPr>
        <w:t>(A)</w:t>
      </w:r>
      <w:r w:rsidRPr="00927EA3">
        <w:rPr>
          <w:rStyle w:val="term1"/>
          <w:b w:val="0"/>
        </w:rPr>
        <w:tab/>
      </w:r>
      <w:r w:rsidRPr="00927EA3">
        <w:rPr>
          <w:rStyle w:val="term1"/>
        </w:rPr>
        <w:t>Business entity</w:t>
      </w:r>
    </w:p>
    <w:p w:rsidR="00D71D89" w:rsidRPr="00927EA3" w:rsidRDefault="00D71D89" w:rsidP="00B21983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Style w:val="term1"/>
          <w:b w:val="0"/>
        </w:rPr>
      </w:pPr>
    </w:p>
    <w:p w:rsidR="00A41135" w:rsidRPr="00927EA3" w:rsidRDefault="00D71D89" w:rsidP="00D71D89">
      <w:pPr>
        <w:tabs>
          <w:tab w:val="left" w:pos="720"/>
          <w:tab w:val="left" w:pos="1440"/>
          <w:tab w:val="left" w:pos="2160"/>
          <w:tab w:val="left" w:pos="2880"/>
        </w:tabs>
        <w:ind w:left="720"/>
        <w:jc w:val="both"/>
      </w:pPr>
      <w:r w:rsidRPr="00927EA3">
        <w:rPr>
          <w:rStyle w:val="term1"/>
          <w:b w:val="0"/>
        </w:rPr>
        <w:t xml:space="preserve">“Business entity” </w:t>
      </w:r>
      <w:r w:rsidR="00A41135" w:rsidRPr="00927EA3">
        <w:rPr>
          <w:rStyle w:val="term1"/>
          <w:b w:val="0"/>
        </w:rPr>
        <w:t>means</w:t>
      </w:r>
      <w:r w:rsidR="00A41135" w:rsidRPr="00927EA3">
        <w:t xml:space="preserve"> a for profit or nonprofit corporation, partnership, limited liability company, limited liability partnership, professional association, business trust, joint venture, unincorporated association, or sole proprietorship. </w:t>
      </w:r>
    </w:p>
    <w:p w:rsidR="00A41135" w:rsidRPr="00927EA3" w:rsidRDefault="00A41135" w:rsidP="00B21983">
      <w:pPr>
        <w:tabs>
          <w:tab w:val="left" w:pos="720"/>
          <w:tab w:val="left" w:pos="1440"/>
          <w:tab w:val="left" w:pos="2160"/>
          <w:tab w:val="left" w:pos="2880"/>
        </w:tabs>
        <w:jc w:val="both"/>
      </w:pPr>
    </w:p>
    <w:p w:rsidR="00D71D89" w:rsidRPr="00927EA3" w:rsidRDefault="00D71D89" w:rsidP="00D71D89">
      <w:pPr>
        <w:pStyle w:val="Default"/>
      </w:pPr>
      <w:r w:rsidRPr="00927EA3">
        <w:rPr>
          <w:b/>
        </w:rPr>
        <w:t>(B)</w:t>
      </w:r>
      <w:r w:rsidRPr="00927EA3">
        <w:tab/>
      </w:r>
      <w:r w:rsidRPr="00927EA3">
        <w:rPr>
          <w:b/>
        </w:rPr>
        <w:t>Retired judge</w:t>
      </w:r>
    </w:p>
    <w:p w:rsidR="00D71D89" w:rsidRPr="00927EA3" w:rsidRDefault="00D71D89" w:rsidP="00D71D89">
      <w:pPr>
        <w:pStyle w:val="Default"/>
      </w:pPr>
    </w:p>
    <w:p w:rsidR="00D71D89" w:rsidRPr="00927EA3" w:rsidRDefault="00D71D89" w:rsidP="00560051">
      <w:pPr>
        <w:pStyle w:val="Default"/>
        <w:ind w:left="720"/>
        <w:jc w:val="both"/>
      </w:pPr>
      <w:r w:rsidRPr="00927EA3">
        <w:t xml:space="preserve">“Retired judge” </w:t>
      </w:r>
      <w:r w:rsidR="00560051" w:rsidRPr="00927EA3">
        <w:t>has the same meaning as in Sup.R. 17(A)(1).</w:t>
      </w:r>
    </w:p>
    <w:p w:rsidR="00D71D89" w:rsidRPr="00927EA3" w:rsidRDefault="00D71D89" w:rsidP="00D71D89">
      <w:pPr>
        <w:tabs>
          <w:tab w:val="left" w:pos="720"/>
          <w:tab w:val="left" w:pos="1440"/>
          <w:tab w:val="left" w:pos="2160"/>
          <w:tab w:val="left" w:pos="2880"/>
        </w:tabs>
        <w:ind w:left="1440"/>
        <w:jc w:val="both"/>
      </w:pPr>
    </w:p>
    <w:p w:rsidR="00A41135" w:rsidRPr="00927EA3" w:rsidRDefault="00A41135" w:rsidP="00B21983">
      <w:pPr>
        <w:tabs>
          <w:tab w:val="left" w:pos="720"/>
          <w:tab w:val="left" w:pos="1440"/>
          <w:tab w:val="left" w:pos="2160"/>
          <w:tab w:val="left" w:pos="2880"/>
        </w:tabs>
        <w:jc w:val="both"/>
      </w:pPr>
    </w:p>
    <w:p w:rsidR="00F53CC5" w:rsidRPr="00927EA3" w:rsidRDefault="00F53CC5" w:rsidP="00B21983">
      <w:pPr>
        <w:tabs>
          <w:tab w:val="left" w:pos="720"/>
          <w:tab w:val="left" w:pos="1980"/>
          <w:tab w:val="left" w:pos="2160"/>
          <w:tab w:val="left" w:pos="2880"/>
        </w:tabs>
        <w:jc w:val="both"/>
        <w:rPr>
          <w:b/>
        </w:rPr>
      </w:pPr>
    </w:p>
    <w:p w:rsidR="00A41135" w:rsidRPr="00927EA3" w:rsidRDefault="00A41135" w:rsidP="00B21983">
      <w:pPr>
        <w:tabs>
          <w:tab w:val="left" w:pos="720"/>
          <w:tab w:val="left" w:pos="1980"/>
          <w:tab w:val="left" w:pos="2160"/>
          <w:tab w:val="left" w:pos="2880"/>
        </w:tabs>
        <w:jc w:val="both"/>
        <w:rPr>
          <w:b/>
        </w:rPr>
      </w:pPr>
      <w:r w:rsidRPr="00927EA3">
        <w:rPr>
          <w:b/>
        </w:rPr>
        <w:t>RULE 49.</w:t>
      </w:r>
      <w:r w:rsidR="00773D27" w:rsidRPr="00927EA3">
        <w:rPr>
          <w:b/>
        </w:rPr>
        <w:t>02</w:t>
      </w:r>
      <w:r w:rsidRPr="00927EA3">
        <w:rPr>
          <w:b/>
        </w:rPr>
        <w:t>.</w:t>
      </w:r>
      <w:r w:rsidRPr="00927EA3">
        <w:rPr>
          <w:b/>
        </w:rPr>
        <w:tab/>
        <w:t xml:space="preserve">Designation </w:t>
      </w:r>
      <w:r w:rsidR="0085796D" w:rsidRPr="00927EA3">
        <w:rPr>
          <w:b/>
        </w:rPr>
        <w:t xml:space="preserve">or Assignment </w:t>
      </w:r>
      <w:r w:rsidRPr="00927EA3">
        <w:rPr>
          <w:b/>
        </w:rPr>
        <w:t>of Commercial Docket Judges.</w:t>
      </w:r>
    </w:p>
    <w:p w:rsidR="00286D2F" w:rsidRPr="00927EA3" w:rsidRDefault="00286D2F" w:rsidP="00B21983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b/>
        </w:rPr>
      </w:pPr>
    </w:p>
    <w:p w:rsidR="00A41135" w:rsidRPr="00927EA3" w:rsidRDefault="00A41135" w:rsidP="00B21983">
      <w:pPr>
        <w:jc w:val="both"/>
        <w:rPr>
          <w:b/>
        </w:rPr>
      </w:pPr>
      <w:r w:rsidRPr="00927EA3">
        <w:rPr>
          <w:b/>
        </w:rPr>
        <w:t>(A)</w:t>
      </w:r>
      <w:r w:rsidRPr="00927EA3">
        <w:rPr>
          <w:b/>
        </w:rPr>
        <w:tab/>
        <w:t xml:space="preserve">Designation </w:t>
      </w:r>
      <w:r w:rsidR="00A050F8" w:rsidRPr="00927EA3">
        <w:rPr>
          <w:b/>
        </w:rPr>
        <w:t xml:space="preserve">or assignment </w:t>
      </w:r>
      <w:r w:rsidRPr="00927EA3">
        <w:rPr>
          <w:b/>
        </w:rPr>
        <w:t>by Chief Justice</w:t>
      </w:r>
      <w:r w:rsidR="005C60C7" w:rsidRPr="00927EA3">
        <w:rPr>
          <w:b/>
        </w:rPr>
        <w:t xml:space="preserve"> </w:t>
      </w:r>
    </w:p>
    <w:p w:rsidR="00A050F8" w:rsidRPr="00927EA3" w:rsidRDefault="00A050F8" w:rsidP="00B21983">
      <w:pPr>
        <w:jc w:val="both"/>
      </w:pPr>
    </w:p>
    <w:p w:rsidR="009E303E" w:rsidRPr="00927EA3" w:rsidRDefault="00FE33D9" w:rsidP="00B21983">
      <w:pPr>
        <w:ind w:left="720"/>
        <w:jc w:val="both"/>
      </w:pPr>
      <w:r w:rsidRPr="00927EA3">
        <w:t xml:space="preserve">Each </w:t>
      </w:r>
      <w:r w:rsidR="00A41135" w:rsidRPr="00927EA3">
        <w:t xml:space="preserve">court of common pleas that has established a commercial docket pursuant to </w:t>
      </w:r>
      <w:r w:rsidR="009576F5" w:rsidRPr="00927EA3">
        <w:t>Sup.R.</w:t>
      </w:r>
      <w:r w:rsidR="00A41135" w:rsidRPr="00927EA3">
        <w:t xml:space="preserve"> 49.0</w:t>
      </w:r>
      <w:r w:rsidR="00773D27" w:rsidRPr="00927EA3">
        <w:t>1</w:t>
      </w:r>
      <w:r w:rsidRPr="00927EA3">
        <w:t xml:space="preserve"> shall select </w:t>
      </w:r>
      <w:r w:rsidR="009E303E" w:rsidRPr="00927EA3">
        <w:t>either of the following</w:t>
      </w:r>
      <w:r w:rsidR="006C33E1" w:rsidRPr="00927EA3">
        <w:t xml:space="preserve"> methods for </w:t>
      </w:r>
      <w:r w:rsidR="00FB0EE1" w:rsidRPr="00927EA3">
        <w:t>designating</w:t>
      </w:r>
      <w:r w:rsidR="006C33E1" w:rsidRPr="00927EA3">
        <w:t xml:space="preserve"> </w:t>
      </w:r>
      <w:r w:rsidR="0085796D" w:rsidRPr="00927EA3">
        <w:t xml:space="preserve">or assigning </w:t>
      </w:r>
      <w:r w:rsidR="006C33E1" w:rsidRPr="00927EA3">
        <w:t>judges</w:t>
      </w:r>
      <w:r w:rsidR="009E303E" w:rsidRPr="00927EA3">
        <w:t xml:space="preserve"> </w:t>
      </w:r>
      <w:r w:rsidR="00A41135" w:rsidRPr="00927EA3">
        <w:t>to hear cases assigned to the docket</w:t>
      </w:r>
      <w:r w:rsidR="00D71D89" w:rsidRPr="00927EA3">
        <w:t>:</w:t>
      </w:r>
    </w:p>
    <w:p w:rsidR="009E303E" w:rsidRPr="00927EA3" w:rsidRDefault="009E303E" w:rsidP="00B21983">
      <w:pPr>
        <w:ind w:left="720"/>
        <w:jc w:val="both"/>
      </w:pPr>
    </w:p>
    <w:p w:rsidR="00D71D89" w:rsidRPr="00927EA3" w:rsidRDefault="00A050F8" w:rsidP="00D71D89">
      <w:pPr>
        <w:ind w:left="1440"/>
        <w:jc w:val="both"/>
      </w:pPr>
      <w:r w:rsidRPr="00927EA3">
        <w:t>(1</w:t>
      </w:r>
      <w:r w:rsidR="009E303E" w:rsidRPr="00927EA3">
        <w:t>)</w:t>
      </w:r>
      <w:r w:rsidR="009E303E" w:rsidRPr="00927EA3">
        <w:tab/>
      </w:r>
      <w:r w:rsidR="00FB0EE1" w:rsidRPr="00927EA3">
        <w:t>Request the Chief Justice of the Supreme Court to designate t</w:t>
      </w:r>
      <w:r w:rsidR="009E303E" w:rsidRPr="00927EA3">
        <w:t>wo or more sitting judges of the general division of the court</w:t>
      </w:r>
      <w:r w:rsidR="00A41135" w:rsidRPr="00927EA3">
        <w:t xml:space="preserve">.  The Chief Justice shall not designate a judge unless the judge agrees to participate.  </w:t>
      </w:r>
    </w:p>
    <w:p w:rsidR="00D71D89" w:rsidRPr="00927EA3" w:rsidRDefault="00D71D89" w:rsidP="00B21983">
      <w:pPr>
        <w:ind w:left="720"/>
        <w:jc w:val="both"/>
      </w:pPr>
    </w:p>
    <w:p w:rsidR="00D71D89" w:rsidRPr="00927EA3" w:rsidRDefault="00A050F8" w:rsidP="006C33E1">
      <w:pPr>
        <w:ind w:left="1440"/>
        <w:jc w:val="both"/>
      </w:pPr>
      <w:r w:rsidRPr="00927EA3">
        <w:t>(2</w:t>
      </w:r>
      <w:r w:rsidR="00D71D89" w:rsidRPr="00927EA3">
        <w:t>)</w:t>
      </w:r>
      <w:r w:rsidR="00D71D89" w:rsidRPr="00927EA3">
        <w:tab/>
      </w:r>
      <w:r w:rsidR="00FB0EE1" w:rsidRPr="00927EA3">
        <w:t>Request the Chief Justice to assign o</w:t>
      </w:r>
      <w:r w:rsidR="00D71D89" w:rsidRPr="00927EA3">
        <w:t>ne or more retired judges</w:t>
      </w:r>
      <w:r w:rsidR="006C33E1" w:rsidRPr="00927EA3">
        <w:t xml:space="preserve"> to active duty </w:t>
      </w:r>
      <w:r w:rsidR="00FB0EE1" w:rsidRPr="00927EA3">
        <w:t xml:space="preserve">to the court </w:t>
      </w:r>
      <w:r w:rsidR="006C33E1" w:rsidRPr="00927EA3">
        <w:t>pursuant to Article IV, Section 6(C) of the Ohio Constitution</w:t>
      </w:r>
      <w:r w:rsidR="00D71D89" w:rsidRPr="00927EA3">
        <w:t xml:space="preserve">.  </w:t>
      </w:r>
    </w:p>
    <w:p w:rsidR="00D71D89" w:rsidRPr="00927EA3" w:rsidRDefault="00D71D89" w:rsidP="00B21983">
      <w:pPr>
        <w:ind w:left="720"/>
        <w:jc w:val="both"/>
      </w:pPr>
    </w:p>
    <w:p w:rsidR="00A050F8" w:rsidRPr="00927EA3" w:rsidRDefault="00A050F8" w:rsidP="00A050F8">
      <w:pPr>
        <w:jc w:val="both"/>
        <w:rPr>
          <w:b/>
        </w:rPr>
      </w:pPr>
      <w:r w:rsidRPr="00927EA3">
        <w:rPr>
          <w:b/>
        </w:rPr>
        <w:t>(B)</w:t>
      </w:r>
      <w:r w:rsidRPr="00927EA3">
        <w:rPr>
          <w:b/>
        </w:rPr>
        <w:tab/>
        <w:t>Title</w:t>
      </w:r>
    </w:p>
    <w:p w:rsidR="00A050F8" w:rsidRPr="00927EA3" w:rsidRDefault="00A050F8" w:rsidP="00A050F8">
      <w:pPr>
        <w:jc w:val="both"/>
      </w:pPr>
    </w:p>
    <w:p w:rsidR="00D71D89" w:rsidRPr="00927EA3" w:rsidRDefault="00D71D89" w:rsidP="00A050F8">
      <w:pPr>
        <w:ind w:left="720"/>
        <w:jc w:val="both"/>
      </w:pPr>
      <w:r w:rsidRPr="00927EA3">
        <w:t>The</w:t>
      </w:r>
      <w:r w:rsidR="005C60C7" w:rsidRPr="00927EA3">
        <w:t xml:space="preserve"> </w:t>
      </w:r>
      <w:r w:rsidRPr="00927EA3">
        <w:t>judges designated</w:t>
      </w:r>
      <w:r w:rsidR="0085796D" w:rsidRPr="00927EA3">
        <w:t xml:space="preserve"> or assigned</w:t>
      </w:r>
      <w:r w:rsidRPr="00927EA3">
        <w:t xml:space="preserve"> by the Chief Jus</w:t>
      </w:r>
      <w:r w:rsidR="00A050F8" w:rsidRPr="00927EA3">
        <w:t xml:space="preserve">tice </w:t>
      </w:r>
      <w:r w:rsidRPr="00927EA3">
        <w:t xml:space="preserve">shall be styled “commercial docket judges.”  </w:t>
      </w:r>
    </w:p>
    <w:p w:rsidR="00A41135" w:rsidRPr="00927EA3" w:rsidRDefault="00A050F8" w:rsidP="00B21983">
      <w:pPr>
        <w:jc w:val="both"/>
        <w:rPr>
          <w:b/>
        </w:rPr>
      </w:pPr>
      <w:r w:rsidRPr="00927EA3">
        <w:rPr>
          <w:b/>
        </w:rPr>
        <w:lastRenderedPageBreak/>
        <w:t>(C)</w:t>
      </w:r>
      <w:r w:rsidR="00A41135" w:rsidRPr="00927EA3">
        <w:rPr>
          <w:b/>
        </w:rPr>
        <w:tab/>
      </w:r>
      <w:r w:rsidR="00556539" w:rsidRPr="00927EA3">
        <w:rPr>
          <w:b/>
        </w:rPr>
        <w:t>Candidate</w:t>
      </w:r>
      <w:r w:rsidR="00EE00E2" w:rsidRPr="00927EA3">
        <w:rPr>
          <w:b/>
        </w:rPr>
        <w:t xml:space="preserve"> r</w:t>
      </w:r>
      <w:r w:rsidR="00A41135" w:rsidRPr="00927EA3">
        <w:rPr>
          <w:b/>
        </w:rPr>
        <w:t>ecommendation</w:t>
      </w:r>
      <w:r w:rsidR="00EE00E2" w:rsidRPr="00927EA3">
        <w:rPr>
          <w:b/>
        </w:rPr>
        <w:t>s</w:t>
      </w:r>
    </w:p>
    <w:p w:rsidR="00A41135" w:rsidRPr="00927EA3" w:rsidRDefault="00A41135" w:rsidP="00B21983">
      <w:pPr>
        <w:jc w:val="both"/>
      </w:pPr>
    </w:p>
    <w:p w:rsidR="00A41135" w:rsidRPr="00927EA3" w:rsidRDefault="009F790A" w:rsidP="00B21983">
      <w:pPr>
        <w:ind w:left="720"/>
        <w:jc w:val="both"/>
      </w:pPr>
      <w:r w:rsidRPr="00927EA3">
        <w:t>A subcommittee of the</w:t>
      </w:r>
      <w:r w:rsidR="00A41135" w:rsidRPr="00927EA3">
        <w:t xml:space="preserve"> </w:t>
      </w:r>
      <w:r w:rsidR="00EE00E2" w:rsidRPr="00927EA3">
        <w:t>Advisory Committee on Case Management</w:t>
      </w:r>
      <w:r w:rsidR="00A41135" w:rsidRPr="00927EA3">
        <w:t xml:space="preserve"> shall recommend to the Chief Justice candidates for designation </w:t>
      </w:r>
      <w:r w:rsidR="0085796D" w:rsidRPr="00927EA3">
        <w:t xml:space="preserve">or assignment </w:t>
      </w:r>
      <w:r w:rsidR="00A41135" w:rsidRPr="00927EA3">
        <w:t>as commercial docket judges and the number of commercial docket judges for each court.</w:t>
      </w:r>
    </w:p>
    <w:p w:rsidR="007D5AD3" w:rsidRPr="00927EA3" w:rsidRDefault="007D5AD3" w:rsidP="00B21983">
      <w:pPr>
        <w:tabs>
          <w:tab w:val="left" w:pos="1980"/>
        </w:tabs>
        <w:jc w:val="both"/>
        <w:rPr>
          <w:b/>
        </w:rPr>
      </w:pPr>
    </w:p>
    <w:p w:rsidR="007D5AD3" w:rsidRPr="00927EA3" w:rsidRDefault="007D5AD3" w:rsidP="00B21983">
      <w:pPr>
        <w:tabs>
          <w:tab w:val="left" w:pos="1980"/>
        </w:tabs>
        <w:jc w:val="both"/>
        <w:rPr>
          <w:b/>
        </w:rPr>
      </w:pPr>
    </w:p>
    <w:p w:rsidR="007D5AD3" w:rsidRPr="00927EA3" w:rsidRDefault="007D5AD3" w:rsidP="00B21983">
      <w:pPr>
        <w:tabs>
          <w:tab w:val="left" w:pos="1980"/>
        </w:tabs>
        <w:jc w:val="both"/>
        <w:rPr>
          <w:b/>
        </w:rPr>
      </w:pPr>
    </w:p>
    <w:p w:rsidR="00A41135" w:rsidRPr="00927EA3" w:rsidRDefault="00A41135" w:rsidP="00B21983">
      <w:pPr>
        <w:tabs>
          <w:tab w:val="left" w:pos="1980"/>
        </w:tabs>
        <w:jc w:val="both"/>
        <w:rPr>
          <w:b/>
        </w:rPr>
      </w:pPr>
      <w:r w:rsidRPr="00927EA3">
        <w:rPr>
          <w:b/>
        </w:rPr>
        <w:t>RULE 49.</w:t>
      </w:r>
      <w:r w:rsidR="009F790A" w:rsidRPr="00927EA3">
        <w:rPr>
          <w:b/>
        </w:rPr>
        <w:t>03</w:t>
      </w:r>
      <w:r w:rsidRPr="00927EA3">
        <w:rPr>
          <w:b/>
        </w:rPr>
        <w:t>.</w:t>
      </w:r>
      <w:r w:rsidRPr="00927EA3">
        <w:rPr>
          <w:b/>
        </w:rPr>
        <w:tab/>
        <w:t>Termination of Commercial Docket.</w:t>
      </w:r>
    </w:p>
    <w:p w:rsidR="00A41135" w:rsidRPr="00927EA3" w:rsidRDefault="00A41135" w:rsidP="00B21983">
      <w:pPr>
        <w:tabs>
          <w:tab w:val="left" w:pos="1980"/>
        </w:tabs>
        <w:jc w:val="both"/>
        <w:rPr>
          <w:b/>
        </w:rPr>
      </w:pPr>
    </w:p>
    <w:p w:rsidR="007E28AE" w:rsidRPr="00927EA3" w:rsidRDefault="007E28AE" w:rsidP="007E28AE">
      <w:pPr>
        <w:tabs>
          <w:tab w:val="left" w:pos="720"/>
          <w:tab w:val="left" w:pos="1980"/>
        </w:tabs>
        <w:jc w:val="both"/>
        <w:rPr>
          <w:b/>
        </w:rPr>
      </w:pPr>
      <w:r w:rsidRPr="00927EA3">
        <w:rPr>
          <w:b/>
        </w:rPr>
        <w:t>(A)</w:t>
      </w:r>
      <w:r w:rsidRPr="00927EA3">
        <w:rPr>
          <w:b/>
        </w:rPr>
        <w:tab/>
        <w:t>Sitting judges serving as commercial docket judge</w:t>
      </w:r>
    </w:p>
    <w:p w:rsidR="007E28AE" w:rsidRPr="00927EA3" w:rsidRDefault="007E28AE" w:rsidP="00B21983">
      <w:pPr>
        <w:tabs>
          <w:tab w:val="left" w:pos="1980"/>
        </w:tabs>
        <w:jc w:val="both"/>
      </w:pPr>
    </w:p>
    <w:p w:rsidR="00A41135" w:rsidRPr="00927EA3" w:rsidRDefault="00A41135" w:rsidP="007E28AE">
      <w:pPr>
        <w:tabs>
          <w:tab w:val="left" w:pos="1980"/>
        </w:tabs>
        <w:ind w:left="720"/>
        <w:jc w:val="both"/>
      </w:pPr>
      <w:r w:rsidRPr="00927EA3">
        <w:t xml:space="preserve">If a vacancy in the position of a commercial docket judge occurs in a court of common pleas that has established a commercial docket </w:t>
      </w:r>
      <w:r w:rsidR="003219CB" w:rsidRPr="00927EA3">
        <w:t xml:space="preserve">with sitting judges of the general division of the court serving as the commercial docket judges </w:t>
      </w:r>
      <w:r w:rsidRPr="00927EA3">
        <w:t xml:space="preserve">pursuant to </w:t>
      </w:r>
      <w:r w:rsidR="009576F5" w:rsidRPr="00927EA3">
        <w:t>Sup.R.</w:t>
      </w:r>
      <w:r w:rsidRPr="00927EA3">
        <w:t xml:space="preserve"> 49.</w:t>
      </w:r>
      <w:r w:rsidR="00E610BF" w:rsidRPr="00927EA3">
        <w:t>01</w:t>
      </w:r>
      <w:r w:rsidR="003219CB" w:rsidRPr="00927EA3">
        <w:t xml:space="preserve"> </w:t>
      </w:r>
      <w:r w:rsidR="00A050F8" w:rsidRPr="00927EA3">
        <w:t>and 49.02(A)(1)</w:t>
      </w:r>
      <w:r w:rsidR="00C75EF4" w:rsidRPr="00927EA3">
        <w:t>, resulting in the court</w:t>
      </w:r>
      <w:r w:rsidR="007E28AE" w:rsidRPr="00927EA3">
        <w:t xml:space="preserve"> </w:t>
      </w:r>
      <w:r w:rsidRPr="00927EA3">
        <w:t>having only one commercial docket judge</w:t>
      </w:r>
      <w:r w:rsidR="005C60C7" w:rsidRPr="00927EA3">
        <w:t>,</w:t>
      </w:r>
      <w:r w:rsidRPr="00927EA3">
        <w:t xml:space="preserve"> and no other judge of the court volunteers to serve and is appointed by the Chief Justice to the commercial docket</w:t>
      </w:r>
      <w:r w:rsidR="00E610BF" w:rsidRPr="00927EA3">
        <w:t xml:space="preserve"> pursuant to </w:t>
      </w:r>
      <w:r w:rsidR="009576F5" w:rsidRPr="00927EA3">
        <w:t>Sup.R.</w:t>
      </w:r>
      <w:r w:rsidR="00E610BF" w:rsidRPr="00927EA3">
        <w:t xml:space="preserve"> 49.02</w:t>
      </w:r>
      <w:r w:rsidR="00C75EF4" w:rsidRPr="00927EA3">
        <w:t>(A)(1)</w:t>
      </w:r>
      <w:r w:rsidRPr="00927EA3">
        <w:t>, the court shall terminate the commercial docket as follows:</w:t>
      </w:r>
    </w:p>
    <w:p w:rsidR="00A41135" w:rsidRPr="00927EA3" w:rsidRDefault="00A41135" w:rsidP="00B21983">
      <w:pPr>
        <w:tabs>
          <w:tab w:val="left" w:pos="1980"/>
        </w:tabs>
        <w:jc w:val="both"/>
      </w:pPr>
    </w:p>
    <w:p w:rsidR="00A41135" w:rsidRPr="00927EA3" w:rsidRDefault="007E28AE" w:rsidP="007E28AE">
      <w:pPr>
        <w:tabs>
          <w:tab w:val="left" w:pos="1440"/>
        </w:tabs>
        <w:ind w:left="1440"/>
        <w:jc w:val="both"/>
      </w:pPr>
      <w:r w:rsidRPr="00927EA3">
        <w:t>(1)</w:t>
      </w:r>
      <w:r w:rsidR="00A41135" w:rsidRPr="00927EA3">
        <w:tab/>
        <w:t>The court shall cease assigning cases to the commercial docket;</w:t>
      </w:r>
    </w:p>
    <w:p w:rsidR="00A41135" w:rsidRPr="00927EA3" w:rsidRDefault="00A41135" w:rsidP="007E28AE">
      <w:pPr>
        <w:tabs>
          <w:tab w:val="left" w:pos="1440"/>
        </w:tabs>
        <w:ind w:left="1440"/>
        <w:jc w:val="both"/>
      </w:pPr>
    </w:p>
    <w:p w:rsidR="00A41135" w:rsidRPr="00927EA3" w:rsidRDefault="007E28AE" w:rsidP="007E28AE">
      <w:pPr>
        <w:tabs>
          <w:tab w:val="left" w:pos="1440"/>
        </w:tabs>
        <w:ind w:left="1440"/>
        <w:jc w:val="both"/>
      </w:pPr>
      <w:r w:rsidRPr="00927EA3">
        <w:t>(2)</w:t>
      </w:r>
      <w:r w:rsidR="00A41135" w:rsidRPr="00927EA3">
        <w:tab/>
        <w:t>Commercial docket cases assigned to the remaining commercial docket judge shall remain with the judge until final disposition;</w:t>
      </w:r>
    </w:p>
    <w:p w:rsidR="00A41135" w:rsidRPr="00927EA3" w:rsidRDefault="00A41135" w:rsidP="007E28AE">
      <w:pPr>
        <w:tabs>
          <w:tab w:val="left" w:pos="1440"/>
        </w:tabs>
        <w:ind w:left="1440"/>
        <w:jc w:val="both"/>
      </w:pPr>
    </w:p>
    <w:p w:rsidR="00A41135" w:rsidRPr="00927EA3" w:rsidRDefault="007E28AE" w:rsidP="007E28AE">
      <w:pPr>
        <w:tabs>
          <w:tab w:val="left" w:pos="1440"/>
        </w:tabs>
        <w:ind w:left="1440"/>
        <w:jc w:val="both"/>
      </w:pPr>
      <w:r w:rsidRPr="00927EA3">
        <w:t>(3)</w:t>
      </w:r>
      <w:r w:rsidR="00A41135" w:rsidRPr="00927EA3">
        <w:tab/>
        <w:t xml:space="preserve">Following final disposition of all commercial docket cases assigned to the remaining commercial docket judge, the commercial docket shall cease to exist.  </w:t>
      </w:r>
    </w:p>
    <w:p w:rsidR="00A41135" w:rsidRPr="00927EA3" w:rsidRDefault="00A41135" w:rsidP="00B21983">
      <w:pPr>
        <w:tabs>
          <w:tab w:val="left" w:pos="1980"/>
        </w:tabs>
        <w:jc w:val="both"/>
        <w:rPr>
          <w:b/>
        </w:rPr>
      </w:pPr>
    </w:p>
    <w:p w:rsidR="00773D27" w:rsidRPr="00927EA3" w:rsidRDefault="007E28AE" w:rsidP="007E28AE">
      <w:pPr>
        <w:tabs>
          <w:tab w:val="left" w:pos="720"/>
          <w:tab w:val="left" w:pos="1980"/>
        </w:tabs>
        <w:jc w:val="both"/>
        <w:rPr>
          <w:b/>
        </w:rPr>
      </w:pPr>
      <w:r w:rsidRPr="00927EA3">
        <w:rPr>
          <w:b/>
        </w:rPr>
        <w:t>(B)</w:t>
      </w:r>
      <w:r w:rsidRPr="00927EA3">
        <w:rPr>
          <w:b/>
        </w:rPr>
        <w:tab/>
        <w:t>Retired judge serving as commercial docket judge</w:t>
      </w:r>
    </w:p>
    <w:p w:rsidR="00A41135" w:rsidRPr="00927EA3" w:rsidRDefault="00A41135" w:rsidP="00B21983">
      <w:pPr>
        <w:tabs>
          <w:tab w:val="left" w:pos="1980"/>
        </w:tabs>
        <w:jc w:val="both"/>
        <w:rPr>
          <w:b/>
        </w:rPr>
      </w:pPr>
    </w:p>
    <w:p w:rsidR="00C75EF4" w:rsidRDefault="00C75EF4" w:rsidP="004441F0">
      <w:pPr>
        <w:tabs>
          <w:tab w:val="left" w:pos="1980"/>
        </w:tabs>
        <w:ind w:left="720"/>
        <w:jc w:val="both"/>
      </w:pPr>
      <w:r w:rsidRPr="00927EA3">
        <w:t xml:space="preserve">If a vacancy in the position of a commercial docket judge occurs in a court of common pleas that has established a commercial docket </w:t>
      </w:r>
      <w:r w:rsidR="003219CB" w:rsidRPr="00927EA3">
        <w:t>with</w:t>
      </w:r>
      <w:r w:rsidRPr="00927EA3">
        <w:t xml:space="preserve"> a retired judge </w:t>
      </w:r>
      <w:r w:rsidR="003219CB" w:rsidRPr="00927EA3">
        <w:t>serving</w:t>
      </w:r>
      <w:r w:rsidRPr="00927EA3">
        <w:t xml:space="preserve"> as </w:t>
      </w:r>
      <w:r w:rsidR="003219CB" w:rsidRPr="00927EA3">
        <w:t xml:space="preserve">the </w:t>
      </w:r>
      <w:r w:rsidRPr="00927EA3">
        <w:t>commercial docket judge</w:t>
      </w:r>
      <w:r w:rsidR="003219CB" w:rsidRPr="00927EA3">
        <w:t xml:space="preserve"> pursuant </w:t>
      </w:r>
      <w:r w:rsidR="00A050F8" w:rsidRPr="00927EA3">
        <w:t>to Sup.R. 49.01 and 49.02(A)(2</w:t>
      </w:r>
      <w:r w:rsidR="003219CB" w:rsidRPr="00927EA3">
        <w:t>)</w:t>
      </w:r>
      <w:r w:rsidRPr="00927EA3">
        <w:t xml:space="preserve">, resulting in the court having </w:t>
      </w:r>
      <w:r w:rsidR="005C60C7" w:rsidRPr="00927EA3">
        <w:t>no</w:t>
      </w:r>
      <w:r w:rsidRPr="00927EA3">
        <w:t xml:space="preserve"> commercial docket judge</w:t>
      </w:r>
      <w:r w:rsidR="005C60C7" w:rsidRPr="00927EA3">
        <w:t>,</w:t>
      </w:r>
      <w:r w:rsidRPr="00927EA3">
        <w:t xml:space="preserve"> and no other retired judge volunteers to serve and is appointed by the Chief Justice to the commercial docket pursuant to Sup</w:t>
      </w:r>
      <w:r w:rsidR="00A050F8" w:rsidRPr="00927EA3">
        <w:t>.R. 49.02(A)(2)</w:t>
      </w:r>
      <w:r w:rsidRPr="00927EA3">
        <w:t xml:space="preserve">, the court shall terminate the commercial docket </w:t>
      </w:r>
      <w:r w:rsidR="005C60C7" w:rsidRPr="00927EA3">
        <w:t xml:space="preserve">and </w:t>
      </w:r>
      <w:r w:rsidR="006314E0" w:rsidRPr="00927EA3">
        <w:t>all</w:t>
      </w:r>
      <w:r w:rsidRPr="00927EA3">
        <w:t xml:space="preserve"> remaining commercial docket </w:t>
      </w:r>
      <w:r w:rsidR="006314E0" w:rsidRPr="00927EA3">
        <w:t>cases</w:t>
      </w:r>
      <w:r w:rsidRPr="00927EA3">
        <w:t xml:space="preserve"> shall </w:t>
      </w:r>
      <w:r w:rsidR="004441F0" w:rsidRPr="00927EA3">
        <w:t>be randomly assigned to a judge of the court in accordance with the individual assignment system adopted by the court pursuant to Sup.R. 36(B</w:t>
      </w:r>
      <w:proofErr w:type="gramStart"/>
      <w:r w:rsidR="004441F0" w:rsidRPr="00927EA3">
        <w:t>)(</w:t>
      </w:r>
      <w:proofErr w:type="gramEnd"/>
      <w:r w:rsidR="004441F0" w:rsidRPr="00927EA3">
        <w:t>2).</w:t>
      </w:r>
    </w:p>
    <w:p w:rsidR="007058B3" w:rsidRDefault="007058B3" w:rsidP="004441F0">
      <w:pPr>
        <w:tabs>
          <w:tab w:val="left" w:pos="1980"/>
        </w:tabs>
        <w:ind w:left="720"/>
        <w:jc w:val="both"/>
      </w:pPr>
    </w:p>
    <w:p w:rsidR="007058B3" w:rsidRDefault="007058B3" w:rsidP="004441F0">
      <w:pPr>
        <w:tabs>
          <w:tab w:val="left" w:pos="1980"/>
        </w:tabs>
        <w:ind w:left="720"/>
        <w:jc w:val="both"/>
      </w:pPr>
    </w:p>
    <w:p w:rsidR="007058B3" w:rsidRDefault="007058B3" w:rsidP="004441F0">
      <w:pPr>
        <w:tabs>
          <w:tab w:val="left" w:pos="1980"/>
        </w:tabs>
        <w:ind w:left="720"/>
        <w:jc w:val="both"/>
      </w:pPr>
    </w:p>
    <w:p w:rsidR="007058B3" w:rsidRDefault="007058B3" w:rsidP="004441F0">
      <w:pPr>
        <w:tabs>
          <w:tab w:val="left" w:pos="1980"/>
        </w:tabs>
        <w:ind w:left="720"/>
        <w:jc w:val="both"/>
      </w:pPr>
    </w:p>
    <w:p w:rsidR="007058B3" w:rsidRDefault="007058B3" w:rsidP="004441F0">
      <w:pPr>
        <w:tabs>
          <w:tab w:val="left" w:pos="1980"/>
        </w:tabs>
        <w:ind w:left="720"/>
        <w:jc w:val="both"/>
      </w:pPr>
    </w:p>
    <w:p w:rsidR="007058B3" w:rsidRPr="00927EA3" w:rsidRDefault="007058B3" w:rsidP="004441F0">
      <w:pPr>
        <w:tabs>
          <w:tab w:val="left" w:pos="1980"/>
        </w:tabs>
        <w:ind w:left="720"/>
        <w:jc w:val="both"/>
        <w:rPr>
          <w:b/>
        </w:rPr>
      </w:pPr>
    </w:p>
    <w:p w:rsidR="00C75EF4" w:rsidRPr="00927EA3" w:rsidRDefault="00C75EF4" w:rsidP="00B21983">
      <w:pPr>
        <w:tabs>
          <w:tab w:val="left" w:pos="1980"/>
        </w:tabs>
        <w:jc w:val="both"/>
        <w:rPr>
          <w:b/>
        </w:rPr>
      </w:pPr>
    </w:p>
    <w:p w:rsidR="00286D2F" w:rsidRPr="00927EA3" w:rsidRDefault="00286D2F" w:rsidP="00B21983">
      <w:pPr>
        <w:pStyle w:val="BodyText"/>
        <w:tabs>
          <w:tab w:val="left" w:pos="720"/>
          <w:tab w:val="left" w:pos="1980"/>
          <w:tab w:val="left" w:pos="2160"/>
          <w:tab w:val="left" w:pos="2880"/>
        </w:tabs>
        <w:spacing w:after="0"/>
        <w:ind w:firstLine="0"/>
        <w:jc w:val="both"/>
        <w:rPr>
          <w:b/>
        </w:rPr>
      </w:pPr>
    </w:p>
    <w:p w:rsidR="00A41135" w:rsidRPr="00927EA3" w:rsidRDefault="00A41135" w:rsidP="00B21983">
      <w:pPr>
        <w:pStyle w:val="BodyText"/>
        <w:tabs>
          <w:tab w:val="left" w:pos="720"/>
          <w:tab w:val="left" w:pos="1980"/>
          <w:tab w:val="left" w:pos="2160"/>
          <w:tab w:val="left" w:pos="2880"/>
        </w:tabs>
        <w:spacing w:after="0"/>
        <w:ind w:firstLine="0"/>
        <w:jc w:val="both"/>
        <w:rPr>
          <w:b/>
        </w:rPr>
      </w:pPr>
      <w:proofErr w:type="gramStart"/>
      <w:r w:rsidRPr="00927EA3">
        <w:rPr>
          <w:b/>
        </w:rPr>
        <w:lastRenderedPageBreak/>
        <w:t>RULE 49.</w:t>
      </w:r>
      <w:r w:rsidR="00E57FC6" w:rsidRPr="00927EA3">
        <w:rPr>
          <w:b/>
        </w:rPr>
        <w:t>09</w:t>
      </w:r>
      <w:r w:rsidR="00207B45" w:rsidRPr="00927EA3">
        <w:rPr>
          <w:b/>
        </w:rPr>
        <w:t>.</w:t>
      </w:r>
      <w:proofErr w:type="gramEnd"/>
      <w:r w:rsidRPr="00927EA3">
        <w:rPr>
          <w:b/>
        </w:rPr>
        <w:tab/>
        <w:t>Commercial Docket Judge Workload.</w:t>
      </w:r>
    </w:p>
    <w:p w:rsidR="00A41135" w:rsidRPr="00927EA3" w:rsidRDefault="00A41135" w:rsidP="00B21983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after="0"/>
        <w:ind w:firstLine="0"/>
        <w:jc w:val="both"/>
        <w:rPr>
          <w:b/>
        </w:rPr>
      </w:pPr>
    </w:p>
    <w:p w:rsidR="00A41135" w:rsidRPr="00927EA3" w:rsidRDefault="00A41135" w:rsidP="00B21983">
      <w:pPr>
        <w:pStyle w:val="BodyText"/>
        <w:tabs>
          <w:tab w:val="left" w:pos="720"/>
        </w:tabs>
        <w:spacing w:after="0"/>
        <w:ind w:firstLine="0"/>
        <w:jc w:val="both"/>
        <w:rPr>
          <w:b/>
        </w:rPr>
      </w:pPr>
      <w:r w:rsidRPr="00927EA3">
        <w:rPr>
          <w:b/>
        </w:rPr>
        <w:t>(A)</w:t>
      </w:r>
      <w:r w:rsidRPr="00927EA3">
        <w:rPr>
          <w:b/>
        </w:rPr>
        <w:tab/>
        <w:t>Adjustment of other case assignments</w:t>
      </w:r>
    </w:p>
    <w:p w:rsidR="00A41135" w:rsidRPr="00927EA3" w:rsidRDefault="00A41135" w:rsidP="00B21983">
      <w:pPr>
        <w:pStyle w:val="BodyText"/>
        <w:tabs>
          <w:tab w:val="left" w:pos="720"/>
        </w:tabs>
        <w:spacing w:after="0"/>
        <w:ind w:firstLine="0"/>
        <w:jc w:val="both"/>
        <w:rPr>
          <w:b/>
        </w:rPr>
      </w:pPr>
    </w:p>
    <w:p w:rsidR="00A41135" w:rsidRPr="00927EA3" w:rsidRDefault="00A41135" w:rsidP="00B21983">
      <w:pPr>
        <w:pStyle w:val="BodyText"/>
        <w:tabs>
          <w:tab w:val="left" w:pos="720"/>
        </w:tabs>
        <w:spacing w:after="0"/>
        <w:ind w:left="720" w:firstLine="0"/>
        <w:jc w:val="both"/>
      </w:pPr>
      <w:r w:rsidRPr="00927EA3">
        <w:t xml:space="preserve">To promote a fair and equal distribution of cases, </w:t>
      </w:r>
      <w:r w:rsidR="00FB5712" w:rsidRPr="00927EA3">
        <w:t>in a court of common pleas that has established a commercial docket with sitting judges of the general division of the court serving as the commercial docket judges pursuant to Sup.R. 49.01 and 49.02(A)(</w:t>
      </w:r>
      <w:r w:rsidR="008B170C" w:rsidRPr="00927EA3">
        <w:t>1</w:t>
      </w:r>
      <w:r w:rsidR="00FB5712" w:rsidRPr="00927EA3">
        <w:t>),</w:t>
      </w:r>
      <w:r w:rsidR="00FB0EE1" w:rsidRPr="00927EA3">
        <w:t xml:space="preserve"> </w:t>
      </w:r>
      <w:r w:rsidRPr="00927EA3">
        <w:t xml:space="preserve">for each commercial docket case assigned to a commercial docket judge pursuant to </w:t>
      </w:r>
      <w:r w:rsidR="009576F5" w:rsidRPr="00927EA3">
        <w:t>Sup.R.</w:t>
      </w:r>
      <w:r w:rsidRPr="00927EA3">
        <w:t xml:space="preserve"> 49.</w:t>
      </w:r>
      <w:r w:rsidR="00785ADA" w:rsidRPr="00927EA3">
        <w:t>07,</w:t>
      </w:r>
      <w:r w:rsidRPr="00927EA3">
        <w:t xml:space="preserve"> a similar non-commercial docket civil case shall be assigned by lot from the docket of the commercial docket judge to a non-commercial docket judge of the court.</w:t>
      </w:r>
    </w:p>
    <w:p w:rsidR="005F013C" w:rsidRPr="00927EA3" w:rsidRDefault="005F013C" w:rsidP="00B21983">
      <w:pPr>
        <w:pStyle w:val="BodyText"/>
        <w:tabs>
          <w:tab w:val="left" w:pos="720"/>
        </w:tabs>
        <w:spacing w:after="0"/>
        <w:ind w:left="720" w:firstLine="0"/>
        <w:jc w:val="both"/>
      </w:pPr>
    </w:p>
    <w:p w:rsidR="00A41135" w:rsidRPr="00927EA3" w:rsidRDefault="00A41135" w:rsidP="00B21983">
      <w:pPr>
        <w:tabs>
          <w:tab w:val="left" w:pos="720"/>
          <w:tab w:val="left" w:pos="1440"/>
          <w:tab w:val="left" w:pos="2160"/>
        </w:tabs>
        <w:jc w:val="both"/>
        <w:rPr>
          <w:b/>
        </w:rPr>
      </w:pPr>
      <w:r w:rsidRPr="00927EA3">
        <w:rPr>
          <w:b/>
        </w:rPr>
        <w:t>(B)</w:t>
      </w:r>
      <w:r w:rsidRPr="00927EA3">
        <w:rPr>
          <w:b/>
        </w:rPr>
        <w:tab/>
        <w:t>Adoption of local rule reducing workload</w:t>
      </w:r>
    </w:p>
    <w:p w:rsidR="00A41135" w:rsidRPr="00927EA3" w:rsidRDefault="00A41135" w:rsidP="00B21983">
      <w:pPr>
        <w:tabs>
          <w:tab w:val="left" w:pos="720"/>
          <w:tab w:val="left" w:pos="1440"/>
          <w:tab w:val="left" w:pos="2160"/>
        </w:tabs>
        <w:jc w:val="both"/>
      </w:pPr>
    </w:p>
    <w:p w:rsidR="00A41135" w:rsidRPr="00927EA3" w:rsidRDefault="00A41135" w:rsidP="00B21983">
      <w:pPr>
        <w:tabs>
          <w:tab w:val="left" w:pos="720"/>
          <w:tab w:val="left" w:pos="1440"/>
          <w:tab w:val="left" w:pos="2160"/>
        </w:tabs>
        <w:ind w:left="720"/>
        <w:jc w:val="both"/>
      </w:pPr>
      <w:r w:rsidRPr="00927EA3">
        <w:t xml:space="preserve">Notwithstanding the case assignment requirements of </w:t>
      </w:r>
      <w:r w:rsidR="009576F5" w:rsidRPr="00927EA3">
        <w:t>Sup.R.</w:t>
      </w:r>
      <w:r w:rsidRPr="00927EA3">
        <w:t xml:space="preserve"> 36(B)(2), a court of common pleas </w:t>
      </w:r>
      <w:r w:rsidR="006C6802" w:rsidRPr="00927EA3">
        <w:t xml:space="preserve">that has established </w:t>
      </w:r>
      <w:r w:rsidRPr="00927EA3">
        <w:t xml:space="preserve">a commercial docket </w:t>
      </w:r>
      <w:r w:rsidR="006C6802" w:rsidRPr="00927EA3">
        <w:t xml:space="preserve">with sitting judges of the general division of the court serving as the commercial docket judges </w:t>
      </w:r>
      <w:r w:rsidRPr="00927EA3">
        <w:t xml:space="preserve">pursuant to </w:t>
      </w:r>
      <w:r w:rsidR="009576F5" w:rsidRPr="00927EA3">
        <w:t>Sup.R.</w:t>
      </w:r>
      <w:r w:rsidRPr="00927EA3">
        <w:t xml:space="preserve"> 49.0</w:t>
      </w:r>
      <w:r w:rsidR="00987EED" w:rsidRPr="00927EA3">
        <w:t>1</w:t>
      </w:r>
      <w:r w:rsidRPr="00927EA3">
        <w:t xml:space="preserve"> </w:t>
      </w:r>
      <w:r w:rsidR="006C6802" w:rsidRPr="00927EA3">
        <w:t>and</w:t>
      </w:r>
      <w:r w:rsidR="008B170C" w:rsidRPr="00927EA3">
        <w:t xml:space="preserve"> Sup.R. 49.02(A)(1</w:t>
      </w:r>
      <w:r w:rsidR="004441F0" w:rsidRPr="00927EA3">
        <w:t xml:space="preserve">) </w:t>
      </w:r>
      <w:r w:rsidRPr="00927EA3">
        <w:t>shall adopt a local rule of court reducing the number of cases assigned to each commercial docket judge through one or more of the following measures:</w:t>
      </w:r>
    </w:p>
    <w:p w:rsidR="00A41135" w:rsidRPr="00927EA3" w:rsidRDefault="00A41135" w:rsidP="00B21983">
      <w:pPr>
        <w:tabs>
          <w:tab w:val="left" w:pos="720"/>
          <w:tab w:val="left" w:pos="1440"/>
          <w:tab w:val="left" w:pos="2160"/>
        </w:tabs>
        <w:jc w:val="both"/>
      </w:pPr>
    </w:p>
    <w:p w:rsidR="00A41135" w:rsidRPr="00927EA3" w:rsidRDefault="00A41135" w:rsidP="00B21983">
      <w:pPr>
        <w:tabs>
          <w:tab w:val="left" w:pos="1440"/>
          <w:tab w:val="left" w:pos="2160"/>
        </w:tabs>
        <w:ind w:left="1440"/>
        <w:jc w:val="both"/>
      </w:pPr>
      <w:r w:rsidRPr="00927EA3">
        <w:t>(1)</w:t>
      </w:r>
      <w:r w:rsidRPr="00927EA3">
        <w:tab/>
        <w:t>Each commercial docket judge receiving no fourth or fifth degree felony cases;</w:t>
      </w:r>
    </w:p>
    <w:p w:rsidR="00A41135" w:rsidRPr="00927EA3" w:rsidRDefault="00A41135" w:rsidP="00B21983">
      <w:pPr>
        <w:tabs>
          <w:tab w:val="left" w:pos="1080"/>
          <w:tab w:val="left" w:pos="1440"/>
          <w:tab w:val="left" w:pos="2160"/>
        </w:tabs>
        <w:ind w:left="1440"/>
        <w:jc w:val="both"/>
      </w:pPr>
    </w:p>
    <w:p w:rsidR="00A41135" w:rsidRPr="00927EA3" w:rsidRDefault="00A41135" w:rsidP="00B21983">
      <w:pPr>
        <w:tabs>
          <w:tab w:val="left" w:pos="1440"/>
          <w:tab w:val="left" w:pos="2160"/>
        </w:tabs>
        <w:ind w:left="1440"/>
        <w:jc w:val="both"/>
      </w:pPr>
      <w:r w:rsidRPr="00927EA3">
        <w:t>(2)</w:t>
      </w:r>
      <w:r w:rsidRPr="00927EA3">
        <w:tab/>
        <w:t>A fifty percent reduction in the number of criminal cases assigned to each commercial docket judge;</w:t>
      </w:r>
    </w:p>
    <w:p w:rsidR="00A41135" w:rsidRPr="00927EA3" w:rsidRDefault="00A41135" w:rsidP="00B21983">
      <w:pPr>
        <w:tabs>
          <w:tab w:val="left" w:pos="1080"/>
          <w:tab w:val="left" w:pos="1440"/>
          <w:tab w:val="left" w:pos="2160"/>
        </w:tabs>
        <w:ind w:left="1440"/>
        <w:jc w:val="both"/>
      </w:pPr>
    </w:p>
    <w:p w:rsidR="00A41135" w:rsidRPr="00927EA3" w:rsidRDefault="00A41135" w:rsidP="00B21983">
      <w:pPr>
        <w:tabs>
          <w:tab w:val="left" w:pos="1440"/>
          <w:tab w:val="left" w:pos="2160"/>
        </w:tabs>
        <w:ind w:left="1440"/>
        <w:jc w:val="both"/>
      </w:pPr>
      <w:r w:rsidRPr="00927EA3">
        <w:t>(3)</w:t>
      </w:r>
      <w:r w:rsidRPr="00927EA3">
        <w:tab/>
        <w:t>A meaningful reduction in the non-commercial docket civil cases assigned to each commercial docket judge.</w:t>
      </w:r>
    </w:p>
    <w:p w:rsidR="00A41135" w:rsidRPr="00927EA3" w:rsidRDefault="00A41135" w:rsidP="00B21983">
      <w:pPr>
        <w:pStyle w:val="BodyText"/>
        <w:tabs>
          <w:tab w:val="left" w:pos="720"/>
          <w:tab w:val="left" w:pos="1980"/>
          <w:tab w:val="left" w:pos="2160"/>
          <w:tab w:val="left" w:pos="2880"/>
        </w:tabs>
        <w:spacing w:after="0"/>
        <w:ind w:firstLine="0"/>
        <w:jc w:val="both"/>
      </w:pPr>
    </w:p>
    <w:p w:rsidR="001A6168" w:rsidRPr="00927EA3" w:rsidRDefault="001A6168" w:rsidP="00B21983">
      <w:pPr>
        <w:pStyle w:val="BodyText"/>
        <w:tabs>
          <w:tab w:val="left" w:pos="720"/>
          <w:tab w:val="left" w:pos="1980"/>
          <w:tab w:val="left" w:pos="2160"/>
          <w:tab w:val="left" w:pos="2880"/>
        </w:tabs>
        <w:spacing w:after="0"/>
        <w:ind w:firstLine="0"/>
        <w:jc w:val="both"/>
      </w:pPr>
    </w:p>
    <w:p w:rsidR="00423CFD" w:rsidRPr="00927EA3" w:rsidRDefault="00423CFD" w:rsidP="00B21983">
      <w:pPr>
        <w:pStyle w:val="BodyText"/>
        <w:tabs>
          <w:tab w:val="left" w:pos="720"/>
          <w:tab w:val="left" w:pos="1440"/>
          <w:tab w:val="left" w:pos="2160"/>
          <w:tab w:val="left" w:pos="2520"/>
          <w:tab w:val="left" w:pos="2880"/>
        </w:tabs>
        <w:spacing w:after="0"/>
        <w:ind w:firstLine="0"/>
        <w:jc w:val="both"/>
      </w:pPr>
    </w:p>
    <w:p w:rsidR="00D95509" w:rsidRPr="00927EA3" w:rsidRDefault="00207B45" w:rsidP="00B21983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b/>
          <w:bCs/>
          <w:szCs w:val="23"/>
        </w:rPr>
      </w:pPr>
      <w:r w:rsidRPr="00927EA3">
        <w:rPr>
          <w:b/>
          <w:bCs/>
          <w:szCs w:val="23"/>
        </w:rPr>
        <w:t>RULE 99.</w:t>
      </w:r>
      <w:r w:rsidR="00D95509" w:rsidRPr="00927EA3">
        <w:rPr>
          <w:b/>
          <w:bCs/>
          <w:szCs w:val="23"/>
        </w:rPr>
        <w:tab/>
        <w:t>Effective Date.</w:t>
      </w:r>
    </w:p>
    <w:p w:rsidR="00D95509" w:rsidRPr="00927EA3" w:rsidRDefault="00D95509" w:rsidP="00B21983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b/>
          <w:bCs/>
          <w:szCs w:val="23"/>
        </w:rPr>
      </w:pPr>
    </w:p>
    <w:p w:rsidR="00D95509" w:rsidRPr="00927EA3" w:rsidRDefault="00D95509" w:rsidP="00B21983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b/>
          <w:bCs/>
          <w:szCs w:val="23"/>
        </w:rPr>
      </w:pPr>
      <w:r w:rsidRPr="00927EA3">
        <w:rPr>
          <w:b/>
          <w:bCs/>
          <w:szCs w:val="23"/>
        </w:rPr>
        <w:t>***</w:t>
      </w:r>
    </w:p>
    <w:p w:rsidR="00D95509" w:rsidRPr="00927EA3" w:rsidRDefault="00D95509" w:rsidP="00B21983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b/>
          <w:bCs/>
          <w:szCs w:val="23"/>
        </w:rPr>
      </w:pPr>
    </w:p>
    <w:p w:rsidR="004973A3" w:rsidRPr="00927EA3" w:rsidRDefault="00D95509" w:rsidP="00B21983">
      <w:pPr>
        <w:tabs>
          <w:tab w:val="left" w:pos="720"/>
          <w:tab w:val="left" w:pos="1440"/>
          <w:tab w:val="left" w:pos="1800"/>
          <w:tab w:val="left" w:pos="2880"/>
        </w:tabs>
        <w:jc w:val="both"/>
      </w:pPr>
      <w:r w:rsidRPr="00927EA3">
        <w:tab/>
        <w:t>(</w:t>
      </w:r>
      <w:r w:rsidR="007058B3">
        <w:t>EEE</w:t>
      </w:r>
      <w:r w:rsidRPr="00927EA3">
        <w:t>)</w:t>
      </w:r>
      <w:r w:rsidRPr="00927EA3">
        <w:tab/>
      </w:r>
      <w:r w:rsidR="0083546B" w:rsidRPr="00927EA3">
        <w:tab/>
      </w:r>
      <w:proofErr w:type="gramStart"/>
      <w:r w:rsidR="00C75EF4" w:rsidRPr="00927EA3">
        <w:t>The amendments to Sup.R.</w:t>
      </w:r>
      <w:proofErr w:type="gramEnd"/>
      <w:r w:rsidR="00C75EF4" w:rsidRPr="00927EA3">
        <w:t xml:space="preserve"> 4</w:t>
      </w:r>
      <w:r w:rsidR="001A6168" w:rsidRPr="00927EA3">
        <w:t xml:space="preserve">9, 49.02, </w:t>
      </w:r>
      <w:r w:rsidR="00C75EF4" w:rsidRPr="00927EA3">
        <w:t>49.03,</w:t>
      </w:r>
      <w:r w:rsidR="001A6168" w:rsidRPr="00927EA3">
        <w:t xml:space="preserve"> and 49.09</w:t>
      </w:r>
      <w:r w:rsidRPr="00927EA3">
        <w:t xml:space="preserve"> adopted by the Supreme Court of Ohio on </w:t>
      </w:r>
      <w:r w:rsidR="007D5AD3" w:rsidRPr="00927EA3">
        <w:t>May 21, 2013</w:t>
      </w:r>
      <w:r w:rsidRPr="00927EA3">
        <w:t xml:space="preserve">, shall take effect on </w:t>
      </w:r>
      <w:r w:rsidR="00996406" w:rsidRPr="00927EA3">
        <w:t>July 1, 2013</w:t>
      </w:r>
      <w:r w:rsidRPr="00927EA3">
        <w:t>.</w:t>
      </w:r>
    </w:p>
    <w:p w:rsidR="004973A3" w:rsidRPr="00927EA3" w:rsidRDefault="004973A3" w:rsidP="00B21983">
      <w:pPr>
        <w:tabs>
          <w:tab w:val="left" w:pos="720"/>
          <w:tab w:val="left" w:pos="1440"/>
          <w:tab w:val="left" w:pos="2160"/>
          <w:tab w:val="left" w:pos="2880"/>
        </w:tabs>
        <w:jc w:val="both"/>
      </w:pPr>
    </w:p>
    <w:p w:rsidR="004973A3" w:rsidRPr="00927EA3" w:rsidRDefault="004973A3" w:rsidP="00B21983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b/>
          <w:bCs/>
          <w:strike/>
        </w:rPr>
      </w:pPr>
    </w:p>
    <w:sectPr w:rsidR="004973A3" w:rsidRPr="00927EA3" w:rsidSect="007D5AD3">
      <w:type w:val="continuous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D61" w:rsidRDefault="003C3D61">
      <w:r>
        <w:separator/>
      </w:r>
    </w:p>
  </w:endnote>
  <w:endnote w:type="continuationSeparator" w:id="0">
    <w:p w:rsidR="003C3D61" w:rsidRDefault="003C3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D61" w:rsidRDefault="003C3D61">
      <w:r>
        <w:separator/>
      </w:r>
    </w:p>
  </w:footnote>
  <w:footnote w:type="continuationSeparator" w:id="0">
    <w:p w:rsidR="003C3D61" w:rsidRDefault="003C3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JMRLegalL1"/>
      <w:lvlText w:val="(%1)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mallCaps w:val="0"/>
        <w:spacing w:val="0"/>
        <w:sz w:val="24"/>
        <w:u w:val="none"/>
      </w:rPr>
    </w:lvl>
    <w:lvl w:ilvl="1">
      <w:start w:val="1"/>
      <w:numFmt w:val="lowerLetter"/>
      <w:pStyle w:val="JMRLegal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pacing w:val="0"/>
        <w:sz w:val="24"/>
        <w:u w:val="none"/>
      </w:rPr>
    </w:lvl>
    <w:lvl w:ilvl="2">
      <w:start w:val="1"/>
      <w:numFmt w:val="none"/>
      <w:pStyle w:val="JMRLegalL3"/>
      <w:suff w:val="nothing"/>
      <w:lvlText w:val="?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pacing w:val="0"/>
        <w:sz w:val="24"/>
        <w:u w:val="none"/>
      </w:rPr>
    </w:lvl>
    <w:lvl w:ilvl="3">
      <w:start w:val="1"/>
      <w:numFmt w:val="decimal"/>
      <w:pStyle w:val="JMRLegalL4"/>
      <w:lvlText w:val="%4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b w:val="0"/>
        <w:i w:val="0"/>
        <w:caps w:val="0"/>
        <w:smallCaps w:val="0"/>
        <w:spacing w:val="0"/>
        <w:sz w:val="24"/>
        <w:u w:val="none"/>
      </w:rPr>
    </w:lvl>
    <w:lvl w:ilvl="4">
      <w:start w:val="1"/>
      <w:numFmt w:val="decimal"/>
      <w:pStyle w:val="JMRLegalL5"/>
      <w:lvlText w:val="%2.%4.%5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/>
        <w:b w:val="0"/>
        <w:i w:val="0"/>
        <w:caps w:val="0"/>
        <w:smallCaps w:val="0"/>
        <w:spacing w:val="0"/>
        <w:sz w:val="24"/>
        <w:u w:val="none"/>
      </w:rPr>
    </w:lvl>
    <w:lvl w:ilvl="5">
      <w:start w:val="1"/>
      <w:numFmt w:val="lowerLetter"/>
      <w:pStyle w:val="JMRLegalL6"/>
      <w:lvlText w:val="(%6)"/>
      <w:lvlJc w:val="left"/>
      <w:pPr>
        <w:tabs>
          <w:tab w:val="num" w:pos="5400"/>
        </w:tabs>
        <w:ind w:left="5400" w:hanging="720"/>
      </w:pPr>
      <w:rPr>
        <w:rFonts w:ascii="Times New Roman" w:hAnsi="Times New Roman" w:cs="Times New Roman"/>
        <w:b w:val="0"/>
        <w:i w:val="0"/>
        <w:caps w:val="0"/>
        <w:smallCaps w:val="0"/>
        <w:spacing w:val="0"/>
        <w:sz w:val="24"/>
        <w:u w:val="none"/>
      </w:rPr>
    </w:lvl>
    <w:lvl w:ilvl="6">
      <w:start w:val="1"/>
      <w:numFmt w:val="lowerRoman"/>
      <w:pStyle w:val="JMRLegalL7"/>
      <w:lvlText w:val="(%7)"/>
      <w:lvlJc w:val="left"/>
      <w:pPr>
        <w:tabs>
          <w:tab w:val="num" w:pos="5400"/>
        </w:tabs>
        <w:ind w:left="5400" w:hanging="720"/>
      </w:pPr>
      <w:rPr>
        <w:rFonts w:ascii="Times New Roman" w:hAnsi="Times New Roman" w:cs="Times New Roman"/>
        <w:b w:val="0"/>
        <w:i w:val="0"/>
        <w:caps w:val="0"/>
        <w:smallCaps w:val="0"/>
        <w:spacing w:val="0"/>
        <w:sz w:val="24"/>
        <w:u w:val="none"/>
      </w:rPr>
    </w:lvl>
    <w:lvl w:ilvl="7">
      <w:start w:val="1"/>
      <w:numFmt w:val="bullet"/>
      <w:pStyle w:val="JMRLegalL8"/>
      <w:lvlText w:val="·"/>
      <w:lvlJc w:val="left"/>
      <w:pPr>
        <w:tabs>
          <w:tab w:val="num" w:pos="5400"/>
        </w:tabs>
        <w:ind w:left="5400" w:hanging="720"/>
      </w:pPr>
      <w:rPr>
        <w:rFonts w:ascii="Symbol" w:hAnsi="Symbol" w:cs="Symbol"/>
        <w:b w:val="0"/>
        <w:i w:val="0"/>
        <w:caps w:val="0"/>
        <w:smallCaps w:val="0"/>
        <w:spacing w:val="0"/>
        <w:u w:val="none"/>
      </w:rPr>
    </w:lvl>
    <w:lvl w:ilvl="8">
      <w:start w:val="1"/>
      <w:numFmt w:val="bullet"/>
      <w:pStyle w:val="JMRLegalL9"/>
      <w:lvlText w:val="·"/>
      <w:lvlJc w:val="left"/>
      <w:pPr>
        <w:tabs>
          <w:tab w:val="num" w:pos="5400"/>
        </w:tabs>
        <w:ind w:left="5400" w:hanging="720"/>
      </w:pPr>
      <w:rPr>
        <w:rFonts w:ascii="Symbol" w:hAnsi="Symbol" w:cs="Symbol"/>
        <w:b w:val="0"/>
        <w:i w:val="0"/>
        <w:caps w:val="0"/>
        <w:smallCaps w:val="0"/>
        <w:spacing w:val="0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lowerLetter"/>
      <w:pStyle w:val="OUTLINEAL1"/>
      <w:lvlText w:val="(%1)"/>
      <w:lvlJc w:val="left"/>
      <w:pPr>
        <w:tabs>
          <w:tab w:val="num" w:pos="1908"/>
        </w:tabs>
        <w:ind w:left="190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841F3"/>
    <w:rsid w:val="000263C8"/>
    <w:rsid w:val="000620D5"/>
    <w:rsid w:val="000B3B86"/>
    <w:rsid w:val="000C6D3F"/>
    <w:rsid w:val="000E4E9F"/>
    <w:rsid w:val="00115AA0"/>
    <w:rsid w:val="00123244"/>
    <w:rsid w:val="00133981"/>
    <w:rsid w:val="00141976"/>
    <w:rsid w:val="001535D9"/>
    <w:rsid w:val="001639D5"/>
    <w:rsid w:val="001879CF"/>
    <w:rsid w:val="001A6168"/>
    <w:rsid w:val="00207B45"/>
    <w:rsid w:val="00221C0A"/>
    <w:rsid w:val="00274D67"/>
    <w:rsid w:val="00286D2F"/>
    <w:rsid w:val="002E10A8"/>
    <w:rsid w:val="003219CB"/>
    <w:rsid w:val="00337700"/>
    <w:rsid w:val="003C3D61"/>
    <w:rsid w:val="003E40FC"/>
    <w:rsid w:val="00423CFD"/>
    <w:rsid w:val="00437DB3"/>
    <w:rsid w:val="00440CE4"/>
    <w:rsid w:val="004424A9"/>
    <w:rsid w:val="004441F0"/>
    <w:rsid w:val="0046377B"/>
    <w:rsid w:val="00464A0E"/>
    <w:rsid w:val="004733F9"/>
    <w:rsid w:val="00487EA7"/>
    <w:rsid w:val="00494042"/>
    <w:rsid w:val="004973A3"/>
    <w:rsid w:val="004C1185"/>
    <w:rsid w:val="0050511C"/>
    <w:rsid w:val="00556414"/>
    <w:rsid w:val="00556539"/>
    <w:rsid w:val="00560051"/>
    <w:rsid w:val="005601B3"/>
    <w:rsid w:val="00587F78"/>
    <w:rsid w:val="005B5A07"/>
    <w:rsid w:val="005B7FF9"/>
    <w:rsid w:val="005C60C7"/>
    <w:rsid w:val="005E2DA7"/>
    <w:rsid w:val="005F013C"/>
    <w:rsid w:val="005F7C2D"/>
    <w:rsid w:val="00602169"/>
    <w:rsid w:val="00606072"/>
    <w:rsid w:val="006314E0"/>
    <w:rsid w:val="006459D2"/>
    <w:rsid w:val="00646411"/>
    <w:rsid w:val="006768D3"/>
    <w:rsid w:val="006B40C8"/>
    <w:rsid w:val="006B4941"/>
    <w:rsid w:val="006C33E1"/>
    <w:rsid w:val="006C3BCD"/>
    <w:rsid w:val="006C6802"/>
    <w:rsid w:val="006D5442"/>
    <w:rsid w:val="00704837"/>
    <w:rsid w:val="007058B3"/>
    <w:rsid w:val="0073008E"/>
    <w:rsid w:val="0074204C"/>
    <w:rsid w:val="00773D27"/>
    <w:rsid w:val="00785ADA"/>
    <w:rsid w:val="007B7BA7"/>
    <w:rsid w:val="007D5AD3"/>
    <w:rsid w:val="007E28AE"/>
    <w:rsid w:val="00823FDB"/>
    <w:rsid w:val="00834A19"/>
    <w:rsid w:val="0083546B"/>
    <w:rsid w:val="0085796D"/>
    <w:rsid w:val="008749BB"/>
    <w:rsid w:val="00875671"/>
    <w:rsid w:val="008A449E"/>
    <w:rsid w:val="008A557B"/>
    <w:rsid w:val="008B170C"/>
    <w:rsid w:val="008E328A"/>
    <w:rsid w:val="00927EA3"/>
    <w:rsid w:val="0093346A"/>
    <w:rsid w:val="009576F5"/>
    <w:rsid w:val="009841F3"/>
    <w:rsid w:val="00987EED"/>
    <w:rsid w:val="00996406"/>
    <w:rsid w:val="009D2E3F"/>
    <w:rsid w:val="009E303E"/>
    <w:rsid w:val="009F131A"/>
    <w:rsid w:val="009F790A"/>
    <w:rsid w:val="00A050F8"/>
    <w:rsid w:val="00A12B64"/>
    <w:rsid w:val="00A312B6"/>
    <w:rsid w:val="00A350B3"/>
    <w:rsid w:val="00A41135"/>
    <w:rsid w:val="00A413E1"/>
    <w:rsid w:val="00A50B2C"/>
    <w:rsid w:val="00A95A45"/>
    <w:rsid w:val="00B05A5F"/>
    <w:rsid w:val="00B21983"/>
    <w:rsid w:val="00B44CC1"/>
    <w:rsid w:val="00B71CC2"/>
    <w:rsid w:val="00B869EA"/>
    <w:rsid w:val="00BB62F0"/>
    <w:rsid w:val="00BD50D8"/>
    <w:rsid w:val="00C11B05"/>
    <w:rsid w:val="00C3332E"/>
    <w:rsid w:val="00C56A15"/>
    <w:rsid w:val="00C72E0E"/>
    <w:rsid w:val="00C75EF4"/>
    <w:rsid w:val="00C91704"/>
    <w:rsid w:val="00CB7634"/>
    <w:rsid w:val="00CD310A"/>
    <w:rsid w:val="00D27DBE"/>
    <w:rsid w:val="00D71D89"/>
    <w:rsid w:val="00D768AE"/>
    <w:rsid w:val="00D815CB"/>
    <w:rsid w:val="00D852E2"/>
    <w:rsid w:val="00D8783E"/>
    <w:rsid w:val="00D95509"/>
    <w:rsid w:val="00E02863"/>
    <w:rsid w:val="00E2121C"/>
    <w:rsid w:val="00E369AE"/>
    <w:rsid w:val="00E503B3"/>
    <w:rsid w:val="00E57FC6"/>
    <w:rsid w:val="00E610BF"/>
    <w:rsid w:val="00E93CDC"/>
    <w:rsid w:val="00E95831"/>
    <w:rsid w:val="00EB6A29"/>
    <w:rsid w:val="00EE00E2"/>
    <w:rsid w:val="00EF30E0"/>
    <w:rsid w:val="00F05988"/>
    <w:rsid w:val="00F27CFF"/>
    <w:rsid w:val="00F35035"/>
    <w:rsid w:val="00F53CC5"/>
    <w:rsid w:val="00FB0EE1"/>
    <w:rsid w:val="00FB5712"/>
    <w:rsid w:val="00FD17AE"/>
    <w:rsid w:val="00FE1DA1"/>
    <w:rsid w:val="00FE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E2DA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5E2DA7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5E2DA7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DA7"/>
    <w:pPr>
      <w:keepNext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E2DA7"/>
    <w:rPr>
      <w:rFonts w:ascii="Times New Roman" w:hAnsi="Times New Roman" w:cs="Times New Roman"/>
      <w:b w:val="0"/>
      <w:i w:val="0"/>
      <w:caps w:val="0"/>
      <w:smallCaps w:val="0"/>
      <w:spacing w:val="0"/>
      <w:sz w:val="24"/>
      <w:u w:val="none"/>
    </w:rPr>
  </w:style>
  <w:style w:type="character" w:customStyle="1" w:styleId="WW8Num1z7">
    <w:name w:val="WW8Num1z7"/>
    <w:rsid w:val="005E2DA7"/>
    <w:rPr>
      <w:rFonts w:ascii="Symbol" w:hAnsi="Symbol" w:cs="Symbol"/>
      <w:b w:val="0"/>
      <w:i w:val="0"/>
      <w:caps w:val="0"/>
      <w:smallCaps w:val="0"/>
      <w:spacing w:val="0"/>
      <w:u w:val="none"/>
    </w:rPr>
  </w:style>
  <w:style w:type="character" w:customStyle="1" w:styleId="Absatz-Standardschriftart">
    <w:name w:val="Absatz-Standardschriftart"/>
    <w:rsid w:val="005E2DA7"/>
  </w:style>
  <w:style w:type="character" w:customStyle="1" w:styleId="WW8Num20z0">
    <w:name w:val="WW8Num20z0"/>
    <w:rsid w:val="005E2DA7"/>
    <w:rPr>
      <w:b/>
    </w:rPr>
  </w:style>
  <w:style w:type="character" w:customStyle="1" w:styleId="WW8Num21z4">
    <w:name w:val="WW8Num21z4"/>
    <w:rsid w:val="005E2DA7"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basedOn w:val="DefaultParagraphFont"/>
    <w:rsid w:val="005E2DA7"/>
    <w:rPr>
      <w:vertAlign w:val="superscript"/>
    </w:rPr>
  </w:style>
  <w:style w:type="character" w:styleId="PageNumber">
    <w:name w:val="page number"/>
    <w:basedOn w:val="DefaultParagraphFont"/>
    <w:rsid w:val="005E2DA7"/>
  </w:style>
  <w:style w:type="character" w:customStyle="1" w:styleId="term1">
    <w:name w:val="term1"/>
    <w:basedOn w:val="DefaultParagraphFont"/>
    <w:rsid w:val="005E2DA7"/>
    <w:rPr>
      <w:b/>
      <w:bCs/>
    </w:rPr>
  </w:style>
  <w:style w:type="character" w:styleId="Hyperlink">
    <w:name w:val="Hyperlink"/>
    <w:basedOn w:val="DefaultParagraphFont"/>
    <w:rsid w:val="005E2DA7"/>
    <w:rPr>
      <w:color w:val="0000FF"/>
      <w:u w:val="single"/>
    </w:rPr>
  </w:style>
  <w:style w:type="character" w:styleId="LineNumber">
    <w:name w:val="line number"/>
    <w:basedOn w:val="DefaultParagraphFont"/>
    <w:rsid w:val="005E2DA7"/>
  </w:style>
  <w:style w:type="character" w:customStyle="1" w:styleId="BodyTextChar">
    <w:name w:val="Body Text Char"/>
    <w:basedOn w:val="DefaultParagraphFont"/>
    <w:rsid w:val="005E2DA7"/>
    <w:rPr>
      <w:rFonts w:eastAsia="SimSun"/>
      <w:sz w:val="24"/>
      <w:szCs w:val="24"/>
    </w:rPr>
  </w:style>
  <w:style w:type="character" w:customStyle="1" w:styleId="DeltaViewInsertion">
    <w:name w:val="DeltaView Insertion"/>
    <w:rsid w:val="005E2DA7"/>
    <w:rPr>
      <w:color w:val="0000FF"/>
      <w:spacing w:val="0"/>
      <w:u w:val="double"/>
    </w:rPr>
  </w:style>
  <w:style w:type="character" w:customStyle="1" w:styleId="DeltaViewMoveDestination">
    <w:name w:val="DeltaView Move Destination"/>
    <w:rsid w:val="005E2DA7"/>
    <w:rPr>
      <w:color w:val="00C000"/>
      <w:spacing w:val="0"/>
      <w:u w:val="double"/>
    </w:rPr>
  </w:style>
  <w:style w:type="character" w:customStyle="1" w:styleId="Heading3Char">
    <w:name w:val="Heading 3 Char"/>
    <w:basedOn w:val="DefaultParagraphFont"/>
    <w:rsid w:val="005E2DA7"/>
    <w:rPr>
      <w:b/>
      <w:sz w:val="28"/>
    </w:rPr>
  </w:style>
  <w:style w:type="character" w:customStyle="1" w:styleId="FooterChar">
    <w:name w:val="Footer Char"/>
    <w:basedOn w:val="DefaultParagraphFont"/>
    <w:rsid w:val="005E2DA7"/>
    <w:rPr>
      <w:sz w:val="24"/>
      <w:szCs w:val="24"/>
    </w:rPr>
  </w:style>
  <w:style w:type="character" w:customStyle="1" w:styleId="Heading1Char">
    <w:name w:val="Heading 1 Char"/>
    <w:basedOn w:val="DefaultParagraphFont"/>
    <w:rsid w:val="005E2DA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DefaultParagraphFont"/>
    <w:rsid w:val="005E2DA7"/>
    <w:rPr>
      <w:rFonts w:eastAsia="Times New Roman"/>
      <w:b/>
      <w:bCs/>
      <w:iCs/>
      <w:sz w:val="28"/>
      <w:szCs w:val="28"/>
    </w:rPr>
  </w:style>
  <w:style w:type="character" w:customStyle="1" w:styleId="FootnoteTextChar">
    <w:name w:val="Footnote Text Char"/>
    <w:basedOn w:val="DefaultParagraphFont"/>
    <w:rsid w:val="005E2DA7"/>
  </w:style>
  <w:style w:type="character" w:styleId="CommentReference">
    <w:name w:val="annotation reference"/>
    <w:basedOn w:val="DefaultParagraphFont"/>
    <w:rsid w:val="005E2DA7"/>
    <w:rPr>
      <w:sz w:val="16"/>
      <w:szCs w:val="16"/>
    </w:rPr>
  </w:style>
  <w:style w:type="character" w:customStyle="1" w:styleId="CommentTextChar">
    <w:name w:val="Comment Text Char"/>
    <w:basedOn w:val="DefaultParagraphFont"/>
    <w:rsid w:val="005E2DA7"/>
  </w:style>
  <w:style w:type="character" w:customStyle="1" w:styleId="CommentSubjectChar">
    <w:name w:val="Comment Subject Char"/>
    <w:basedOn w:val="CommentTextChar"/>
    <w:rsid w:val="005E2DA7"/>
    <w:rPr>
      <w:b/>
      <w:bCs/>
    </w:rPr>
  </w:style>
  <w:style w:type="character" w:customStyle="1" w:styleId="ft">
    <w:name w:val="ft"/>
    <w:basedOn w:val="DefaultParagraphFont"/>
    <w:rsid w:val="005E2DA7"/>
  </w:style>
  <w:style w:type="character" w:styleId="FootnoteReference">
    <w:name w:val="footnote reference"/>
    <w:rsid w:val="005E2DA7"/>
    <w:rPr>
      <w:vertAlign w:val="superscript"/>
    </w:rPr>
  </w:style>
  <w:style w:type="character" w:customStyle="1" w:styleId="EndnoteCharacters">
    <w:name w:val="Endnote Characters"/>
    <w:rsid w:val="005E2DA7"/>
    <w:rPr>
      <w:vertAlign w:val="superscript"/>
    </w:rPr>
  </w:style>
  <w:style w:type="character" w:customStyle="1" w:styleId="WW-EndnoteCharacters">
    <w:name w:val="WW-Endnote Characters"/>
    <w:rsid w:val="005E2DA7"/>
  </w:style>
  <w:style w:type="character" w:styleId="EndnoteReference">
    <w:name w:val="endnote reference"/>
    <w:rsid w:val="005E2DA7"/>
    <w:rPr>
      <w:vertAlign w:val="superscript"/>
    </w:rPr>
  </w:style>
  <w:style w:type="paragraph" w:customStyle="1" w:styleId="Heading">
    <w:name w:val="Heading"/>
    <w:basedOn w:val="Normal"/>
    <w:next w:val="BodyText"/>
    <w:rsid w:val="005E2DA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5E2DA7"/>
    <w:pPr>
      <w:autoSpaceDE w:val="0"/>
      <w:spacing w:after="240"/>
      <w:ind w:firstLine="720"/>
    </w:pPr>
    <w:rPr>
      <w:rFonts w:eastAsia="SimSun"/>
    </w:rPr>
  </w:style>
  <w:style w:type="paragraph" w:styleId="List">
    <w:name w:val="List"/>
    <w:basedOn w:val="BodyText"/>
    <w:rsid w:val="005E2DA7"/>
  </w:style>
  <w:style w:type="paragraph" w:styleId="Caption">
    <w:name w:val="caption"/>
    <w:basedOn w:val="Normal"/>
    <w:qFormat/>
    <w:rsid w:val="005E2D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E2DA7"/>
    <w:pPr>
      <w:suppressLineNumbers/>
    </w:pPr>
  </w:style>
  <w:style w:type="paragraph" w:styleId="Header">
    <w:name w:val="header"/>
    <w:basedOn w:val="Normal"/>
    <w:rsid w:val="005E2D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2DA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sid w:val="005E2DA7"/>
    <w:rPr>
      <w:sz w:val="20"/>
      <w:szCs w:val="20"/>
    </w:rPr>
  </w:style>
  <w:style w:type="paragraph" w:styleId="BalloonText">
    <w:name w:val="Balloon Text"/>
    <w:basedOn w:val="Normal"/>
    <w:rsid w:val="005E2D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E2DA7"/>
    <w:pPr>
      <w:spacing w:before="280" w:after="280"/>
    </w:pPr>
  </w:style>
  <w:style w:type="paragraph" w:customStyle="1" w:styleId="JMRLegalL1">
    <w:name w:val="JMRLegal_L1"/>
    <w:basedOn w:val="Normal"/>
    <w:next w:val="BodyText"/>
    <w:rsid w:val="005E2DA7"/>
    <w:pPr>
      <w:numPr>
        <w:numId w:val="1"/>
      </w:numPr>
      <w:autoSpaceDE w:val="0"/>
      <w:spacing w:line="480" w:lineRule="auto"/>
      <w:outlineLvl w:val="0"/>
    </w:pPr>
    <w:rPr>
      <w:rFonts w:eastAsia="SimSun"/>
      <w:szCs w:val="20"/>
    </w:rPr>
  </w:style>
  <w:style w:type="paragraph" w:customStyle="1" w:styleId="JMRLegalL2">
    <w:name w:val="JMRLegal_L2"/>
    <w:basedOn w:val="Normal"/>
    <w:next w:val="BodyText"/>
    <w:rsid w:val="005E2DA7"/>
    <w:pPr>
      <w:numPr>
        <w:ilvl w:val="1"/>
        <w:numId w:val="1"/>
      </w:numPr>
      <w:autoSpaceDE w:val="0"/>
      <w:spacing w:line="480" w:lineRule="auto"/>
      <w:outlineLvl w:val="1"/>
    </w:pPr>
    <w:rPr>
      <w:rFonts w:eastAsia="SimSun"/>
      <w:szCs w:val="20"/>
    </w:rPr>
  </w:style>
  <w:style w:type="paragraph" w:customStyle="1" w:styleId="JMRLegalL3">
    <w:name w:val="JMRLegal_L3"/>
    <w:basedOn w:val="Normal"/>
    <w:next w:val="BodyText"/>
    <w:rsid w:val="005E2DA7"/>
    <w:pPr>
      <w:numPr>
        <w:ilvl w:val="2"/>
        <w:numId w:val="1"/>
      </w:numPr>
      <w:autoSpaceDE w:val="0"/>
      <w:spacing w:after="240"/>
      <w:outlineLvl w:val="2"/>
    </w:pPr>
    <w:rPr>
      <w:rFonts w:eastAsia="SimSun"/>
      <w:szCs w:val="20"/>
    </w:rPr>
  </w:style>
  <w:style w:type="paragraph" w:customStyle="1" w:styleId="JMRLegalL4">
    <w:name w:val="JMRLegal_L4"/>
    <w:basedOn w:val="Normal"/>
    <w:next w:val="BodyText"/>
    <w:rsid w:val="005E2DA7"/>
    <w:pPr>
      <w:numPr>
        <w:ilvl w:val="3"/>
        <w:numId w:val="1"/>
      </w:numPr>
      <w:autoSpaceDE w:val="0"/>
      <w:spacing w:after="240"/>
      <w:outlineLvl w:val="3"/>
    </w:pPr>
    <w:rPr>
      <w:rFonts w:eastAsia="SimSun"/>
      <w:szCs w:val="20"/>
    </w:rPr>
  </w:style>
  <w:style w:type="paragraph" w:customStyle="1" w:styleId="JMRLegalL5">
    <w:name w:val="JMRLegal_L5"/>
    <w:basedOn w:val="Normal"/>
    <w:next w:val="BodyText"/>
    <w:rsid w:val="005E2DA7"/>
    <w:pPr>
      <w:numPr>
        <w:ilvl w:val="4"/>
        <w:numId w:val="1"/>
      </w:numPr>
      <w:autoSpaceDE w:val="0"/>
      <w:spacing w:after="240"/>
      <w:outlineLvl w:val="4"/>
    </w:pPr>
    <w:rPr>
      <w:rFonts w:eastAsia="SimSun"/>
      <w:szCs w:val="20"/>
    </w:rPr>
  </w:style>
  <w:style w:type="paragraph" w:customStyle="1" w:styleId="JMRLegalL6">
    <w:name w:val="JMRLegal_L6"/>
    <w:basedOn w:val="Normal"/>
    <w:next w:val="BodyText"/>
    <w:rsid w:val="005E2DA7"/>
    <w:pPr>
      <w:numPr>
        <w:ilvl w:val="5"/>
        <w:numId w:val="1"/>
      </w:numPr>
      <w:autoSpaceDE w:val="0"/>
      <w:spacing w:after="240"/>
      <w:outlineLvl w:val="5"/>
    </w:pPr>
    <w:rPr>
      <w:rFonts w:eastAsia="SimSun"/>
      <w:szCs w:val="20"/>
    </w:rPr>
  </w:style>
  <w:style w:type="paragraph" w:customStyle="1" w:styleId="JMRLegalL7">
    <w:name w:val="JMRLegal_L7"/>
    <w:basedOn w:val="JMRLegalL6"/>
    <w:next w:val="BodyText"/>
    <w:rsid w:val="005E2DA7"/>
    <w:pPr>
      <w:numPr>
        <w:ilvl w:val="6"/>
      </w:numPr>
      <w:tabs>
        <w:tab w:val="left" w:pos="720"/>
        <w:tab w:val="left" w:pos="3600"/>
      </w:tabs>
      <w:ind w:left="720" w:hanging="360"/>
      <w:outlineLvl w:val="6"/>
    </w:pPr>
  </w:style>
  <w:style w:type="paragraph" w:customStyle="1" w:styleId="JMRLegalL8">
    <w:name w:val="JMRLegal_L8"/>
    <w:basedOn w:val="JMRLegalL7"/>
    <w:next w:val="BodyText"/>
    <w:rsid w:val="005E2DA7"/>
    <w:pPr>
      <w:numPr>
        <w:ilvl w:val="7"/>
      </w:numPr>
      <w:ind w:left="3600" w:hanging="360"/>
      <w:outlineLvl w:val="7"/>
    </w:pPr>
  </w:style>
  <w:style w:type="paragraph" w:customStyle="1" w:styleId="JMRLegalL9">
    <w:name w:val="JMRLegal_L9"/>
    <w:basedOn w:val="JMRLegalL8"/>
    <w:next w:val="BodyText"/>
    <w:rsid w:val="005E2DA7"/>
    <w:pPr>
      <w:numPr>
        <w:ilvl w:val="8"/>
      </w:numPr>
      <w:ind w:left="3600" w:hanging="360"/>
      <w:outlineLvl w:val="8"/>
    </w:pPr>
  </w:style>
  <w:style w:type="paragraph" w:customStyle="1" w:styleId="WW-Default">
    <w:name w:val="WW-Default"/>
    <w:rsid w:val="005E2DA7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BodyTextSingle">
    <w:name w:val="Body Text Single"/>
    <w:basedOn w:val="Normal"/>
    <w:rsid w:val="005E2DA7"/>
    <w:pPr>
      <w:spacing w:after="240"/>
      <w:jc w:val="both"/>
    </w:pPr>
  </w:style>
  <w:style w:type="paragraph" w:styleId="TOCHeading">
    <w:name w:val="TOC Heading"/>
    <w:basedOn w:val="Heading1"/>
    <w:next w:val="Normal"/>
    <w:qFormat/>
    <w:rsid w:val="005E2DA7"/>
    <w:pPr>
      <w:keepLines/>
      <w:spacing w:before="480" w:after="0" w:line="276" w:lineRule="auto"/>
    </w:pPr>
    <w:rPr>
      <w:color w:val="365F91"/>
      <w:sz w:val="28"/>
      <w:szCs w:val="28"/>
    </w:rPr>
  </w:style>
  <w:style w:type="paragraph" w:styleId="TOC1">
    <w:name w:val="toc 1"/>
    <w:basedOn w:val="Normal"/>
    <w:next w:val="Normal"/>
    <w:uiPriority w:val="39"/>
    <w:rsid w:val="005E2DA7"/>
    <w:pPr>
      <w:tabs>
        <w:tab w:val="right" w:leader="dot" w:pos="8630"/>
      </w:tabs>
    </w:pPr>
    <w:rPr>
      <w:i/>
    </w:rPr>
  </w:style>
  <w:style w:type="paragraph" w:styleId="TOC2">
    <w:name w:val="toc 2"/>
    <w:basedOn w:val="Normal"/>
    <w:next w:val="Normal"/>
    <w:uiPriority w:val="39"/>
    <w:rsid w:val="005E2DA7"/>
    <w:pPr>
      <w:tabs>
        <w:tab w:val="left" w:pos="1440"/>
        <w:tab w:val="right" w:leader="dot" w:pos="8630"/>
      </w:tabs>
      <w:ind w:left="720"/>
    </w:pPr>
  </w:style>
  <w:style w:type="paragraph" w:styleId="TOC3">
    <w:name w:val="toc 3"/>
    <w:basedOn w:val="Normal"/>
    <w:next w:val="Normal"/>
    <w:uiPriority w:val="39"/>
    <w:rsid w:val="005E2DA7"/>
    <w:pPr>
      <w:ind w:left="480"/>
    </w:pPr>
  </w:style>
  <w:style w:type="paragraph" w:customStyle="1" w:styleId="OUTLINEAL1">
    <w:name w:val="OUTLINEA_L1"/>
    <w:basedOn w:val="Normal"/>
    <w:next w:val="BodyText"/>
    <w:rsid w:val="005E2DA7"/>
    <w:pPr>
      <w:numPr>
        <w:numId w:val="2"/>
      </w:numPr>
      <w:tabs>
        <w:tab w:val="left" w:pos="1440"/>
      </w:tabs>
      <w:autoSpaceDE w:val="0"/>
      <w:spacing w:after="240"/>
      <w:ind w:left="720" w:firstLine="0"/>
    </w:pPr>
    <w:rPr>
      <w:rFonts w:eastAsia="SimSun"/>
      <w:szCs w:val="20"/>
    </w:rPr>
  </w:style>
  <w:style w:type="paragraph" w:styleId="CommentText">
    <w:name w:val="annotation text"/>
    <w:basedOn w:val="Normal"/>
    <w:rsid w:val="005E2DA7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5E2DA7"/>
    <w:rPr>
      <w:b/>
      <w:bCs/>
    </w:rPr>
  </w:style>
  <w:style w:type="paragraph" w:customStyle="1" w:styleId="TableContents">
    <w:name w:val="Table Contents"/>
    <w:basedOn w:val="Normal"/>
    <w:rsid w:val="005E2DA7"/>
    <w:pPr>
      <w:suppressLineNumbers/>
    </w:pPr>
  </w:style>
  <w:style w:type="paragraph" w:customStyle="1" w:styleId="TableHeading">
    <w:name w:val="Table Heading"/>
    <w:basedOn w:val="TableContents"/>
    <w:rsid w:val="005E2DA7"/>
    <w:pPr>
      <w:jc w:val="center"/>
    </w:pPr>
    <w:rPr>
      <w:b/>
      <w:bCs/>
    </w:rPr>
  </w:style>
  <w:style w:type="paragraph" w:styleId="TOC4">
    <w:name w:val="toc 4"/>
    <w:basedOn w:val="Index"/>
    <w:rsid w:val="005E2DA7"/>
    <w:pPr>
      <w:tabs>
        <w:tab w:val="right" w:leader="dot" w:pos="9123"/>
      </w:tabs>
      <w:ind w:left="849"/>
    </w:pPr>
  </w:style>
  <w:style w:type="paragraph" w:styleId="TOC5">
    <w:name w:val="toc 5"/>
    <w:basedOn w:val="Index"/>
    <w:rsid w:val="005E2DA7"/>
    <w:pPr>
      <w:tabs>
        <w:tab w:val="right" w:leader="dot" w:pos="8840"/>
      </w:tabs>
      <w:ind w:left="1132"/>
    </w:pPr>
  </w:style>
  <w:style w:type="paragraph" w:styleId="TOC6">
    <w:name w:val="toc 6"/>
    <w:basedOn w:val="Index"/>
    <w:rsid w:val="005E2DA7"/>
    <w:pPr>
      <w:tabs>
        <w:tab w:val="right" w:leader="dot" w:pos="8557"/>
      </w:tabs>
      <w:ind w:left="1415"/>
    </w:pPr>
  </w:style>
  <w:style w:type="paragraph" w:styleId="TOC7">
    <w:name w:val="toc 7"/>
    <w:basedOn w:val="Index"/>
    <w:rsid w:val="005E2DA7"/>
    <w:pPr>
      <w:tabs>
        <w:tab w:val="right" w:leader="dot" w:pos="8274"/>
      </w:tabs>
      <w:ind w:left="1698"/>
    </w:pPr>
  </w:style>
  <w:style w:type="paragraph" w:styleId="TOC8">
    <w:name w:val="toc 8"/>
    <w:basedOn w:val="Index"/>
    <w:rsid w:val="005E2DA7"/>
    <w:pPr>
      <w:tabs>
        <w:tab w:val="right" w:leader="dot" w:pos="7991"/>
      </w:tabs>
      <w:ind w:left="1981"/>
    </w:pPr>
  </w:style>
  <w:style w:type="paragraph" w:styleId="TOC9">
    <w:name w:val="toc 9"/>
    <w:basedOn w:val="Index"/>
    <w:rsid w:val="005E2DA7"/>
    <w:pPr>
      <w:tabs>
        <w:tab w:val="right" w:leader="dot" w:pos="7708"/>
      </w:tabs>
      <w:ind w:left="2264"/>
    </w:pPr>
  </w:style>
  <w:style w:type="paragraph" w:customStyle="1" w:styleId="Contents10">
    <w:name w:val="Contents 10"/>
    <w:basedOn w:val="Index"/>
    <w:rsid w:val="005E2DA7"/>
    <w:pPr>
      <w:tabs>
        <w:tab w:val="right" w:leader="dot" w:pos="7425"/>
      </w:tabs>
      <w:ind w:left="2547"/>
    </w:pPr>
  </w:style>
  <w:style w:type="paragraph" w:customStyle="1" w:styleId="Default">
    <w:name w:val="Default"/>
    <w:rsid w:val="00D955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A312B6"/>
    <w:pPr>
      <w:suppressAutoHyphens w:val="0"/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312B6"/>
    <w:rPr>
      <w:b/>
      <w:sz w:val="24"/>
    </w:rPr>
  </w:style>
  <w:style w:type="character" w:styleId="Strong">
    <w:name w:val="Strong"/>
    <w:basedOn w:val="DefaultParagraphFont"/>
    <w:qFormat/>
    <w:rsid w:val="00A312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Ohio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VanNorman</dc:creator>
  <cp:lastModifiedBy>Jennifer Dennis</cp:lastModifiedBy>
  <cp:revision>3</cp:revision>
  <cp:lastPrinted>2013-05-22T19:06:00Z</cp:lastPrinted>
  <dcterms:created xsi:type="dcterms:W3CDTF">2013-05-22T18:54:00Z</dcterms:created>
  <dcterms:modified xsi:type="dcterms:W3CDTF">2013-05-22T19:06:00Z</dcterms:modified>
</cp:coreProperties>
</file>